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0F2CE6">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团体标准《大果山楂原汁》编制说明</w:t>
      </w:r>
    </w:p>
    <w:p w14:paraId="0E0FBDD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p>
    <w:p w14:paraId="601E6166">
      <w:pPr>
        <w:keepNext w:val="0"/>
        <w:keepLines w:val="0"/>
        <w:pageBreakBefore w:val="0"/>
        <w:widowControl w:val="0"/>
        <w:kinsoku/>
        <w:wordWrap/>
        <w:overflowPunct/>
        <w:topLinePunct w:val="0"/>
        <w:autoSpaceDE/>
        <w:autoSpaceDN/>
        <w:bidi w:val="0"/>
        <w:adjustRightInd w:val="0"/>
        <w:snapToGrid w:val="0"/>
        <w:spacing w:before="157" w:beforeLines="50" w:after="157" w:afterLines="50" w:line="560" w:lineRule="exact"/>
        <w:ind w:firstLine="640" w:firstLineChars="200"/>
        <w:jc w:val="both"/>
        <w:textAlignment w:val="auto"/>
        <w:outlineLvl w:val="0"/>
        <w:rPr>
          <w:rFonts w:hint="eastAsia" w:ascii="黑体" w:hAnsi="黑体" w:eastAsia="黑体" w:cs="黑体"/>
          <w:b w:val="0"/>
          <w:bCs/>
          <w:sz w:val="32"/>
          <w:szCs w:val="32"/>
          <w:lang w:eastAsia="zh-CN"/>
        </w:rPr>
      </w:pPr>
      <w:r>
        <w:rPr>
          <w:rFonts w:hint="eastAsia" w:ascii="黑体" w:hAnsi="黑体" w:eastAsia="黑体" w:cs="黑体"/>
          <w:b w:val="0"/>
          <w:bCs/>
          <w:sz w:val="32"/>
          <w:szCs w:val="32"/>
        </w:rPr>
        <w:t>一、任务来源、起草单位</w:t>
      </w:r>
    </w:p>
    <w:p w14:paraId="3CFBC96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广西质量协会关于下达2024年第一批团体标准制修订项目计划的通知》（桂质协字〔2024〕7号）文件精神，由广西壮族自治区林业科学研究院提出，联合广西壮族自治区分析测试研究中心、广西-东盟食品检验检测中心</w:t>
      </w:r>
      <w:r>
        <w:rPr>
          <w:rFonts w:hint="eastAsia" w:ascii="Times New Roman" w:hAnsi="Times New Roman" w:cs="Times New Roman"/>
          <w:sz w:val="32"/>
          <w:szCs w:val="32"/>
          <w:lang w:val="en-US" w:eastAsia="zh-CN"/>
        </w:rPr>
        <w:t>[国家市场监督管理总局技术创新中心（天然香料香精</w:t>
      </w:r>
      <w:r>
        <w:rPr>
          <w:rFonts w:hint="eastAsia" w:ascii="Times New Roman" w:hAnsi="Times New Roman" w:cs="Times New Roman"/>
          <w:sz w:val="32"/>
          <w:szCs w:val="32"/>
          <w:lang w:eastAsia="zh-CN"/>
        </w:rPr>
        <w:t>）</w:t>
      </w:r>
      <w:r>
        <w:rPr>
          <w:rFonts w:hint="eastAsia" w:ascii="Times New Roman" w:hAnsi="Times New Roman" w:cs="Times New Roman"/>
          <w:sz w:val="40"/>
          <w:szCs w:val="40"/>
          <w:lang w:val="en-US" w:eastAsia="zh-CN"/>
        </w:rPr>
        <w:t>]</w:t>
      </w:r>
      <w:r>
        <w:rPr>
          <w:rFonts w:hint="default" w:ascii="Times New Roman" w:hAnsi="Times New Roman" w:eastAsia="仿宋_GB2312" w:cs="Times New Roman"/>
          <w:sz w:val="32"/>
          <w:szCs w:val="32"/>
        </w:rPr>
        <w:t>、广西中医药研究院、广西中药质量标准研究重点实验室、广西靖西梁鹏食品有限公司、德保县壮宝酒厂有限公司、广西贺州市芬芳果蔬食品有限公司、广西国际商务职业技术学院、广西职业技术学院、广西陇桂投资集团有限公司、广西旅发大健康产业集团有限公司等单位共同起草的团体标准《大果山楂原汁》（项目编号：广西质量协会2024年第一批团体标准制修订项目计划2024-010</w:t>
      </w:r>
      <w:r>
        <w:rPr>
          <w:rFonts w:hint="eastAsia" w:ascii="Times New Roman" w:hAnsi="Times New Roman" w:cs="Times New Roman"/>
          <w:sz w:val="32"/>
          <w:szCs w:val="32"/>
          <w:lang w:val="en-US" w:eastAsia="zh-CN"/>
        </w:rPr>
        <w:t>2</w:t>
      </w:r>
      <w:r>
        <w:rPr>
          <w:rFonts w:hint="default" w:ascii="Times New Roman" w:hAnsi="Times New Roman" w:eastAsia="仿宋_GB2312" w:cs="Times New Roman"/>
          <w:sz w:val="32"/>
          <w:szCs w:val="32"/>
        </w:rPr>
        <w:t>号）获批立项。</w:t>
      </w:r>
    </w:p>
    <w:p w14:paraId="54912072">
      <w:pPr>
        <w:keepNext w:val="0"/>
        <w:keepLines w:val="0"/>
        <w:pageBreakBefore w:val="0"/>
        <w:widowControl w:val="0"/>
        <w:kinsoku/>
        <w:wordWrap/>
        <w:overflowPunct/>
        <w:topLinePunct w:val="0"/>
        <w:autoSpaceDE/>
        <w:autoSpaceDN/>
        <w:bidi w:val="0"/>
        <w:adjustRightInd w:val="0"/>
        <w:snapToGrid w:val="0"/>
        <w:spacing w:before="157" w:beforeLines="50" w:after="157" w:afterLines="50" w:line="560" w:lineRule="exact"/>
        <w:ind w:firstLine="640" w:firstLineChars="200"/>
        <w:jc w:val="both"/>
        <w:textAlignment w:val="auto"/>
        <w:outlineLvl w:val="0"/>
        <w:rPr>
          <w:rFonts w:hint="eastAsia" w:ascii="黑体" w:hAnsi="黑体" w:eastAsia="黑体" w:cs="黑体"/>
          <w:b w:val="0"/>
          <w:bCs/>
          <w:sz w:val="32"/>
          <w:szCs w:val="32"/>
          <w:lang w:eastAsia="zh-CN"/>
        </w:rPr>
      </w:pPr>
      <w:r>
        <w:rPr>
          <w:rFonts w:hint="eastAsia" w:ascii="黑体" w:hAnsi="黑体" w:eastAsia="黑体" w:cs="黑体"/>
          <w:b w:val="0"/>
          <w:bCs/>
          <w:sz w:val="32"/>
          <w:szCs w:val="32"/>
        </w:rPr>
        <w:t>二、制定标准的必要性和意义</w:t>
      </w:r>
    </w:p>
    <w:p w14:paraId="5BEE51C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大果山楂(</w:t>
      </w:r>
      <w:r>
        <w:rPr>
          <w:rFonts w:hint="eastAsia" w:ascii="Times New Roman" w:hAnsi="Times New Roman" w:cs="Times New Roman"/>
          <w:i/>
          <w:iCs/>
          <w:sz w:val="32"/>
          <w:szCs w:val="32"/>
          <w:lang w:val="en-US" w:eastAsia="zh-CN"/>
        </w:rPr>
        <w:t>Malus doumeri</w:t>
      </w:r>
      <w:r>
        <w:rPr>
          <w:rFonts w:hint="eastAsia" w:ascii="Times New Roman" w:hAnsi="Times New Roman" w:cs="Times New Roman"/>
          <w:sz w:val="32"/>
          <w:szCs w:val="32"/>
          <w:lang w:val="en-US" w:eastAsia="zh-CN"/>
        </w:rPr>
        <w:t>)属蔷薇科落叶乔木，在广西靖西、德保、那坡和天峨县种植较多，其中以靖西、德宝县最为集中，其他零星分布于广西百色、河池的大石山区。大果山楂在广西有着悠久的栽培历史，是非常少见的适合在石漠化山区种植的优良树种。近年来，大果山楂</w:t>
      </w:r>
      <w:r>
        <w:rPr>
          <w:rFonts w:hint="default" w:ascii="Times New Roman" w:hAnsi="Times New Roman" w:cs="Times New Roman"/>
          <w:sz w:val="32"/>
          <w:szCs w:val="32"/>
          <w:lang w:val="en-US" w:eastAsia="zh-CN"/>
        </w:rPr>
        <w:t>种植面积逐年扩大，相关加工企业数量也不断增多。据不完全统计，广西从事大果山楂加工的企业已达数十家，部分企业的年销售额超过千万元，产品不仅在国内市场销售，还逐步拓展到东南亚等国际市场。</w:t>
      </w:r>
    </w:p>
    <w:p w14:paraId="40CC317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大果山楂果实中氨基酸、维生素、无机元素含量较高，富含超氧化物歧化酶、三萜类、黄酮类、有机酸等药理活性成分，有健胃消食、降压、降血脂、舒张血管、抗心律失常、抗肿瘤、抗衰老、提高机体免疫力及保肝、护肝等功效，是药食同源的绿色产品，是广西道地药材之一。2018年7月靖西大果山楂被认定为中国地理标志产品，获得农业农村部颁发的农产品地理标志登记证书。</w:t>
      </w:r>
    </w:p>
    <w:p w14:paraId="60D0D11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大果山楂因其酸涩不适于直接鲜食。传统的大果山楂加工产品主要有山楂糕、山楂片、蜜饯等，由于缺乏深加工企业，深加工产品少，销量有限。</w:t>
      </w:r>
      <w:r>
        <w:rPr>
          <w:rFonts w:hint="default" w:ascii="Times New Roman" w:hAnsi="Times New Roman" w:cs="Times New Roman"/>
          <w:sz w:val="32"/>
          <w:szCs w:val="32"/>
          <w:lang w:val="en-US" w:eastAsia="zh-CN"/>
        </w:rPr>
        <w:t>随着人们健康意识的提高和对天然饮品需求的增加，大果山楂原汁市场呈现出良好的发展态势。然而，当前大果山楂原汁产业在发展过程中面临诸多问题。一方面，产品质量参差不齐。由于缺乏统一的标准规范，不同企业生产的大果山楂原汁在原料选择、生产工艺、质量指标等方面存在较大差异。部分企业为降低成本，选用劣质原料或采用不规范的生产工艺，导致产品口感不佳、营养成分流失，甚至存在安全隐患。另一方面，市场竞争无序。劣质产品的存在扰乱了市场秩序，使得优质产品难以获得合理的市场回报，制约了产业的健康发展。同时，由于缺乏标准的约束，企业在产品研发、质量控制、市场推广等方面缺乏明确的方向，难以形成规模化、品牌化发展。</w:t>
      </w:r>
    </w:p>
    <w:p w14:paraId="27A9202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制定《大果山楂原汁》团体标准有助于规范大果山楂原汁的生产加工过程，提高产品质量，提升产业整体竞争力</w:t>
      </w:r>
      <w:r>
        <w:rPr>
          <w:rFonts w:hint="eastAsia" w:ascii="Times New Roman" w:hAnsi="Times New Roman" w:cs="Times New Roman"/>
          <w:sz w:val="32"/>
          <w:szCs w:val="32"/>
          <w:lang w:val="en-US" w:eastAsia="zh-CN"/>
        </w:rPr>
        <w:t>；</w:t>
      </w:r>
      <w:r>
        <w:rPr>
          <w:rFonts w:hint="default" w:ascii="Times New Roman" w:hAnsi="Times New Roman" w:cs="Times New Roman"/>
          <w:sz w:val="32"/>
          <w:szCs w:val="32"/>
          <w:lang w:val="en-US" w:eastAsia="zh-CN"/>
        </w:rPr>
        <w:t>有助于加强市场监管，打击假冒伪劣产品，维护公平竞争的市场环境</w:t>
      </w:r>
      <w:r>
        <w:rPr>
          <w:rFonts w:hint="eastAsia" w:ascii="Times New Roman" w:hAnsi="Times New Roman" w:cs="Times New Roman"/>
          <w:sz w:val="32"/>
          <w:szCs w:val="32"/>
          <w:lang w:val="en-US" w:eastAsia="zh-CN"/>
        </w:rPr>
        <w:t>，</w:t>
      </w:r>
      <w:r>
        <w:rPr>
          <w:rFonts w:hint="default" w:ascii="Times New Roman" w:hAnsi="Times New Roman" w:cs="Times New Roman"/>
          <w:sz w:val="32"/>
          <w:szCs w:val="32"/>
          <w:lang w:val="en-US" w:eastAsia="zh-CN"/>
        </w:rPr>
        <w:t>保障消费者的合法权益</w:t>
      </w:r>
      <w:r>
        <w:rPr>
          <w:rFonts w:hint="eastAsia" w:ascii="Times New Roman" w:hAnsi="Times New Roman" w:cs="Times New Roman"/>
          <w:sz w:val="32"/>
          <w:szCs w:val="32"/>
          <w:lang w:val="en-US" w:eastAsia="zh-CN"/>
        </w:rPr>
        <w:t>；</w:t>
      </w:r>
      <w:r>
        <w:rPr>
          <w:rFonts w:hint="default" w:ascii="Times New Roman" w:hAnsi="Times New Roman" w:cs="Times New Roman"/>
          <w:sz w:val="32"/>
          <w:szCs w:val="32"/>
          <w:lang w:val="en-US" w:eastAsia="zh-CN"/>
        </w:rPr>
        <w:t>能够促进大果山楂产业的规模化发展，带动农民增收。此外，产业的发展还将带动种植、加工、销售等相关环节的协同发展，创造更多的就业机会，促进地方经济的繁荣。《大果山楂原汁》团体标准的实施</w:t>
      </w:r>
      <w:r>
        <w:rPr>
          <w:rFonts w:hint="eastAsia" w:ascii="Times New Roman" w:hAnsi="Times New Roman" w:cs="Times New Roman"/>
          <w:sz w:val="32"/>
          <w:szCs w:val="32"/>
          <w:lang w:val="en-US" w:eastAsia="zh-CN"/>
        </w:rPr>
        <w:t>将</w:t>
      </w:r>
      <w:r>
        <w:rPr>
          <w:rFonts w:hint="default" w:ascii="Times New Roman" w:hAnsi="Times New Roman" w:cs="Times New Roman"/>
          <w:sz w:val="32"/>
          <w:szCs w:val="32"/>
          <w:lang w:val="en-US" w:eastAsia="zh-CN"/>
        </w:rPr>
        <w:t>有助于推动地方特色产业的发展。广西作为大果山楂的主要产区，通过制定和实施标准，能够打造具有地方特色的品牌产品，提升广西</w:t>
      </w:r>
      <w:r>
        <w:rPr>
          <w:rFonts w:hint="eastAsia" w:ascii="Times New Roman" w:hAnsi="Times New Roman" w:cs="Times New Roman"/>
          <w:sz w:val="32"/>
          <w:szCs w:val="32"/>
          <w:lang w:val="en-US" w:eastAsia="zh-CN"/>
        </w:rPr>
        <w:t>林</w:t>
      </w:r>
      <w:r>
        <w:rPr>
          <w:rFonts w:hint="default" w:ascii="Times New Roman" w:hAnsi="Times New Roman" w:cs="Times New Roman"/>
          <w:sz w:val="32"/>
          <w:szCs w:val="32"/>
          <w:lang w:val="en-US" w:eastAsia="zh-CN"/>
        </w:rPr>
        <w:t>产品的知名度。同时，大果山楂产业的发展还能促进生态环境的保护和改善，实现经济发展与生态保护的良性互动。</w:t>
      </w:r>
    </w:p>
    <w:p w14:paraId="4B7895C0">
      <w:pPr>
        <w:keepNext w:val="0"/>
        <w:keepLines w:val="0"/>
        <w:pageBreakBefore w:val="0"/>
        <w:widowControl w:val="0"/>
        <w:kinsoku/>
        <w:wordWrap/>
        <w:overflowPunct/>
        <w:topLinePunct w:val="0"/>
        <w:autoSpaceDE/>
        <w:autoSpaceDN/>
        <w:bidi w:val="0"/>
        <w:adjustRightInd w:val="0"/>
        <w:snapToGrid w:val="0"/>
        <w:spacing w:before="157" w:beforeLines="50" w:after="157" w:afterLines="50" w:line="560" w:lineRule="exact"/>
        <w:ind w:firstLine="640" w:firstLineChars="200"/>
        <w:jc w:val="both"/>
        <w:textAlignment w:val="auto"/>
        <w:outlineLvl w:val="0"/>
        <w:rPr>
          <w:rFonts w:hint="eastAsia" w:ascii="黑体" w:hAnsi="黑体" w:eastAsia="黑体" w:cs="黑体"/>
          <w:b w:val="0"/>
          <w:bCs/>
          <w:sz w:val="32"/>
          <w:szCs w:val="32"/>
          <w:lang w:eastAsia="zh-CN"/>
        </w:rPr>
      </w:pPr>
      <w:r>
        <w:rPr>
          <w:rFonts w:hint="eastAsia" w:ascii="黑体" w:hAnsi="黑体" w:eastAsia="黑体" w:cs="黑体"/>
          <w:b w:val="0"/>
          <w:bCs/>
          <w:sz w:val="32"/>
          <w:szCs w:val="32"/>
        </w:rPr>
        <w:t>三、主要起草过程</w:t>
      </w:r>
    </w:p>
    <w:p w14:paraId="44CF4386">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（一）成立标准编制工作组</w:t>
      </w:r>
    </w:p>
    <w:p w14:paraId="21DC5F7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cs="Times New Roman"/>
          <w:sz w:val="32"/>
          <w:szCs w:val="32"/>
          <w:lang w:val="en-US" w:eastAsia="zh-CN"/>
        </w:rPr>
      </w:pPr>
      <w:r>
        <w:rPr>
          <w:rFonts w:hint="default" w:ascii="Times New Roman" w:hAnsi="Times New Roman" w:eastAsia="仿宋_GB2312" w:cs="Times New Roman"/>
          <w:sz w:val="32"/>
          <w:szCs w:val="32"/>
        </w:rPr>
        <w:t>项目立项后，广西壮族自治区林业科学研究院</w:t>
      </w:r>
      <w:r>
        <w:rPr>
          <w:rFonts w:hint="eastAsia" w:ascii="Times New Roman" w:hAnsi="Times New Roman" w:cs="Times New Roman"/>
          <w:sz w:val="32"/>
          <w:szCs w:val="32"/>
          <w:lang w:val="en-US" w:eastAsia="zh-CN"/>
        </w:rPr>
        <w:t>牵头</w:t>
      </w:r>
      <w:r>
        <w:rPr>
          <w:rFonts w:hint="default" w:ascii="Times New Roman" w:hAnsi="Times New Roman" w:eastAsia="仿宋_GB2312" w:cs="Times New Roman"/>
          <w:sz w:val="32"/>
          <w:szCs w:val="32"/>
        </w:rPr>
        <w:t>成立了标准编制工作组，制定了起草编写方案和进度安排，明确任务职责，确定工作技术路线，开展标准研制工作，具体标准编制工作由广西壮族自治区林业科学研究院</w:t>
      </w:r>
      <w:r>
        <w:rPr>
          <w:rFonts w:hint="default" w:ascii="Times New Roman" w:hAnsi="Times New Roman" w:eastAsia="仿宋_GB2312" w:cs="Times New Roman"/>
          <w:sz w:val="32"/>
          <w:szCs w:val="32"/>
          <w:lang w:eastAsia="zh-CN"/>
        </w:rPr>
        <w:t>、广西壮族自治区分析测试中心、广西壮族自治区中医药研究院、广西中药质量标准研究重点实验室、广西靖西梁鹏食品有限公司、德保县壮宝酒厂有限公司</w:t>
      </w:r>
      <w:r>
        <w:rPr>
          <w:rFonts w:hint="eastAsia" w:ascii="Times New Roman" w:hAnsi="Times New Roman" w:cs="Times New Roman"/>
          <w:sz w:val="32"/>
          <w:szCs w:val="32"/>
          <w:lang w:eastAsia="zh-CN"/>
        </w:rPr>
        <w:t>、</w:t>
      </w:r>
      <w:r>
        <w:rPr>
          <w:rFonts w:hint="default" w:ascii="Times New Roman" w:hAnsi="Times New Roman" w:eastAsia="仿宋_GB2312" w:cs="Times New Roman"/>
          <w:sz w:val="32"/>
          <w:szCs w:val="32"/>
        </w:rPr>
        <w:t>广西国际商务职业技术学院、广西职业技术学院、广西陇桂投资集团有限公司、广西旅发大健康产业集团有限公司</w:t>
      </w:r>
      <w:r>
        <w:rPr>
          <w:rFonts w:hint="eastAsia" w:ascii="Times New Roman" w:hAnsi="Times New Roman" w:cs="Times New Roman"/>
          <w:sz w:val="32"/>
          <w:szCs w:val="32"/>
          <w:lang w:eastAsia="zh-CN"/>
        </w:rPr>
        <w:t>、</w:t>
      </w:r>
      <w:r>
        <w:rPr>
          <w:rFonts w:hint="default" w:ascii="Times New Roman" w:hAnsi="Times New Roman" w:eastAsia="仿宋_GB2312" w:cs="Times New Roman"/>
          <w:sz w:val="32"/>
          <w:szCs w:val="32"/>
        </w:rPr>
        <w:t>等单位</w:t>
      </w:r>
      <w:r>
        <w:rPr>
          <w:rFonts w:hint="default" w:ascii="Times New Roman" w:hAnsi="Times New Roman" w:eastAsia="仿宋_GB2312" w:cs="Times New Roman"/>
          <w:sz w:val="32"/>
          <w:szCs w:val="32"/>
          <w:lang w:val="en-US" w:eastAsia="zh-CN"/>
        </w:rPr>
        <w:t>相关人员</w:t>
      </w:r>
      <w:r>
        <w:rPr>
          <w:rFonts w:hint="default" w:ascii="Times New Roman" w:hAnsi="Times New Roman" w:eastAsia="仿宋_GB2312" w:cs="Times New Roman"/>
          <w:sz w:val="32"/>
          <w:szCs w:val="32"/>
        </w:rPr>
        <w:t>开展</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包括</w:t>
      </w:r>
      <w:r>
        <w:rPr>
          <w:rFonts w:hint="default" w:ascii="Times New Roman" w:hAnsi="Times New Roman" w:eastAsia="仿宋_GB2312" w:cs="Times New Roman"/>
          <w:sz w:val="32"/>
          <w:szCs w:val="32"/>
        </w:rPr>
        <w:t>收集</w:t>
      </w:r>
      <w:r>
        <w:rPr>
          <w:rFonts w:hint="eastAsia" w:ascii="Times New Roman" w:hAnsi="Times New Roman" w:cs="Times New Roman"/>
          <w:sz w:val="32"/>
          <w:szCs w:val="32"/>
          <w:lang w:val="en-US" w:eastAsia="zh-CN"/>
        </w:rPr>
        <w:t>大果山楂种植情况、大果山楂加工品</w:t>
      </w:r>
      <w:r>
        <w:rPr>
          <w:rFonts w:hint="default" w:ascii="Times New Roman" w:hAnsi="Times New Roman" w:eastAsia="仿宋_GB2312" w:cs="Times New Roman"/>
          <w:sz w:val="32"/>
          <w:szCs w:val="32"/>
          <w:lang w:val="en-US" w:eastAsia="zh-CN"/>
        </w:rPr>
        <w:t>发展现状、</w:t>
      </w:r>
      <w:r>
        <w:rPr>
          <w:rFonts w:hint="eastAsia" w:ascii="Times New Roman" w:hAnsi="Times New Roman" w:cs="Times New Roman"/>
          <w:sz w:val="32"/>
          <w:szCs w:val="32"/>
          <w:lang w:val="en-US" w:eastAsia="zh-CN"/>
        </w:rPr>
        <w:t>相关果汁</w:t>
      </w:r>
      <w:r>
        <w:rPr>
          <w:rFonts w:hint="default" w:ascii="Times New Roman" w:hAnsi="Times New Roman" w:eastAsia="仿宋_GB2312" w:cs="Times New Roman"/>
          <w:sz w:val="32"/>
          <w:szCs w:val="32"/>
          <w:lang w:val="en-US" w:eastAsia="zh-CN"/>
        </w:rPr>
        <w:t>制品标准等</w:t>
      </w:r>
      <w:r>
        <w:rPr>
          <w:rFonts w:hint="default" w:ascii="Times New Roman" w:hAnsi="Times New Roman" w:eastAsia="仿宋_GB2312" w:cs="Times New Roman"/>
          <w:color w:val="000000"/>
          <w:spacing w:val="2"/>
          <w:sz w:val="32"/>
          <w:szCs w:val="32"/>
        </w:rPr>
        <w:t>文献资料</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组织</w:t>
      </w:r>
      <w:r>
        <w:rPr>
          <w:rFonts w:hint="default" w:ascii="Times New Roman" w:hAnsi="Times New Roman" w:eastAsia="仿宋_GB2312" w:cs="Times New Roman"/>
          <w:sz w:val="32"/>
          <w:szCs w:val="32"/>
        </w:rPr>
        <w:t>技术调研、编写草案等工作。</w:t>
      </w:r>
    </w:p>
    <w:p w14:paraId="2EF83DE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center"/>
        <w:textAlignment w:val="auto"/>
        <w:rPr>
          <w:rFonts w:hint="default" w:ascii="Times New Roman" w:hAnsi="Times New Roman" w:eastAsia="仿宋_GB2312" w:cs="Times New Roman"/>
          <w:sz w:val="32"/>
          <w:szCs w:val="32"/>
          <w:lang w:eastAsia="zh-CN"/>
        </w:rPr>
      </w:pPr>
      <w:r>
        <w:rPr>
          <w:rFonts w:hint="eastAsia" w:ascii="Times New Roman" w:hAnsi="Times New Roman" w:cs="Times New Roman"/>
          <w:sz w:val="32"/>
          <w:szCs w:val="32"/>
          <w:lang w:val="en-US" w:eastAsia="zh-CN"/>
        </w:rPr>
        <w:t>大果山楂原汁团体</w:t>
      </w:r>
      <w:r>
        <w:rPr>
          <w:rFonts w:hint="default" w:ascii="Times New Roman" w:hAnsi="Times New Roman" w:eastAsia="仿宋_GB2312" w:cs="Times New Roman"/>
          <w:sz w:val="32"/>
          <w:szCs w:val="32"/>
          <w:lang w:eastAsia="zh-CN"/>
        </w:rPr>
        <w:t>标准主要起草人员</w:t>
      </w:r>
    </w:p>
    <w:tbl>
      <w:tblPr>
        <w:tblStyle w:val="4"/>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1401"/>
        <w:gridCol w:w="1861"/>
        <w:gridCol w:w="2564"/>
        <w:gridCol w:w="2801"/>
      </w:tblGrid>
      <w:tr w14:paraId="3325B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176" w:type="dxa"/>
            <w:noWrap w:val="0"/>
            <w:vAlign w:val="center"/>
          </w:tcPr>
          <w:p w14:paraId="34CD332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研 制</w:t>
            </w:r>
          </w:p>
          <w:p w14:paraId="246BE78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人 员</w:t>
            </w:r>
          </w:p>
        </w:tc>
        <w:tc>
          <w:tcPr>
            <w:tcW w:w="1401" w:type="dxa"/>
            <w:noWrap w:val="0"/>
            <w:vAlign w:val="center"/>
          </w:tcPr>
          <w:p w14:paraId="786D787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姓名</w:t>
            </w:r>
          </w:p>
        </w:tc>
        <w:tc>
          <w:tcPr>
            <w:tcW w:w="1861" w:type="dxa"/>
            <w:noWrap w:val="0"/>
            <w:vAlign w:val="center"/>
          </w:tcPr>
          <w:p w14:paraId="6AB7EB2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职务/职称</w:t>
            </w:r>
          </w:p>
        </w:tc>
        <w:tc>
          <w:tcPr>
            <w:tcW w:w="2564" w:type="dxa"/>
            <w:noWrap w:val="0"/>
            <w:vAlign w:val="center"/>
          </w:tcPr>
          <w:p w14:paraId="5C7609B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现从事</w:t>
            </w:r>
          </w:p>
          <w:p w14:paraId="6FB1C87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专  业</w:t>
            </w:r>
          </w:p>
        </w:tc>
        <w:tc>
          <w:tcPr>
            <w:tcW w:w="2801" w:type="dxa"/>
            <w:noWrap w:val="0"/>
            <w:vAlign w:val="center"/>
          </w:tcPr>
          <w:p w14:paraId="7E8FCE7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所在单位</w:t>
            </w:r>
          </w:p>
        </w:tc>
      </w:tr>
      <w:tr w14:paraId="30D3F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76" w:type="dxa"/>
            <w:noWrap w:val="0"/>
            <w:vAlign w:val="center"/>
          </w:tcPr>
          <w:p w14:paraId="1712A14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项  目</w:t>
            </w:r>
          </w:p>
          <w:p w14:paraId="11EFA8B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负责人</w:t>
            </w:r>
          </w:p>
        </w:tc>
        <w:tc>
          <w:tcPr>
            <w:tcW w:w="1401" w:type="dxa"/>
            <w:noWrap w:val="0"/>
            <w:vAlign w:val="center"/>
          </w:tcPr>
          <w:p w14:paraId="54D4D36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李军集</w:t>
            </w:r>
          </w:p>
        </w:tc>
        <w:tc>
          <w:tcPr>
            <w:tcW w:w="1861" w:type="dxa"/>
            <w:noWrap w:val="0"/>
            <w:vAlign w:val="center"/>
          </w:tcPr>
          <w:p w14:paraId="45FF140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高级工程师</w:t>
            </w:r>
          </w:p>
        </w:tc>
        <w:tc>
          <w:tcPr>
            <w:tcW w:w="2564" w:type="dxa"/>
            <w:noWrap w:val="0"/>
            <w:vAlign w:val="center"/>
          </w:tcPr>
          <w:p w14:paraId="0C7A186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lang w:val="en-US" w:eastAsia="zh-CN"/>
              </w:rPr>
            </w:pPr>
            <w:r>
              <w:rPr>
                <w:rFonts w:hint="eastAsia" w:ascii="Times New Roman" w:hAnsi="Times New Roman" w:cs="Times New Roman"/>
                <w:sz w:val="28"/>
                <w:szCs w:val="28"/>
                <w:lang w:val="en-US" w:eastAsia="zh-CN"/>
              </w:rPr>
              <w:t>天然产物研究</w:t>
            </w:r>
          </w:p>
        </w:tc>
        <w:tc>
          <w:tcPr>
            <w:tcW w:w="2801" w:type="dxa"/>
            <w:noWrap w:val="0"/>
            <w:vAlign w:val="center"/>
          </w:tcPr>
          <w:p w14:paraId="1BED21F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广西壮族自治区林业科学研究院</w:t>
            </w:r>
          </w:p>
        </w:tc>
      </w:tr>
      <w:tr w14:paraId="427DC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restart"/>
            <w:noWrap w:val="0"/>
            <w:vAlign w:val="center"/>
          </w:tcPr>
          <w:p w14:paraId="0760420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主</w:t>
            </w:r>
          </w:p>
          <w:p w14:paraId="09457F3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要</w:t>
            </w:r>
          </w:p>
          <w:p w14:paraId="032454C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参</w:t>
            </w:r>
          </w:p>
          <w:p w14:paraId="68B0E4B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加</w:t>
            </w:r>
          </w:p>
          <w:p w14:paraId="07033DF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人</w:t>
            </w:r>
          </w:p>
          <w:p w14:paraId="33594D1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员</w:t>
            </w:r>
          </w:p>
        </w:tc>
        <w:tc>
          <w:tcPr>
            <w:tcW w:w="1401" w:type="dxa"/>
            <w:shd w:val="clear" w:color="auto" w:fill="auto"/>
            <w:noWrap w:val="0"/>
            <w:vAlign w:val="center"/>
          </w:tcPr>
          <w:p w14:paraId="396A61DB">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高璇</w:t>
            </w:r>
          </w:p>
        </w:tc>
        <w:tc>
          <w:tcPr>
            <w:tcW w:w="1861" w:type="dxa"/>
            <w:shd w:val="clear" w:color="auto" w:fill="auto"/>
            <w:noWrap w:val="0"/>
            <w:vAlign w:val="center"/>
          </w:tcPr>
          <w:p w14:paraId="5986B03F">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工程师</w:t>
            </w:r>
          </w:p>
        </w:tc>
        <w:tc>
          <w:tcPr>
            <w:tcW w:w="2564" w:type="dxa"/>
            <w:shd w:val="clear" w:color="auto" w:fill="auto"/>
            <w:noWrap w:val="0"/>
            <w:vAlign w:val="center"/>
          </w:tcPr>
          <w:p w14:paraId="1C57268F">
            <w:pPr>
              <w:jc w:val="center"/>
              <w:rPr>
                <w:rFonts w:hint="default" w:ascii="Calibri" w:hAnsi="Calibri" w:eastAsia="仿宋_GB2312" w:cs="Times New Roman"/>
                <w:kern w:val="2"/>
                <w:sz w:val="28"/>
                <w:szCs w:val="28"/>
                <w:lang w:val="en-US" w:eastAsia="zh-CN" w:bidi="ar-SA"/>
              </w:rPr>
            </w:pPr>
            <w:r>
              <w:rPr>
                <w:rFonts w:hint="eastAsia" w:ascii="Times New Roman" w:hAnsi="Times New Roman" w:cs="Times New Roman"/>
                <w:sz w:val="28"/>
                <w:szCs w:val="28"/>
                <w:lang w:val="en-US" w:eastAsia="zh-CN"/>
              </w:rPr>
              <w:t>天然产物研究</w:t>
            </w:r>
          </w:p>
        </w:tc>
        <w:tc>
          <w:tcPr>
            <w:tcW w:w="2801" w:type="dxa"/>
            <w:shd w:val="clear" w:color="auto" w:fill="auto"/>
            <w:noWrap w:val="0"/>
            <w:vAlign w:val="center"/>
          </w:tcPr>
          <w:p w14:paraId="03F6F74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rPr>
              <w:t>广西壮族自治区林业科学研究院</w:t>
            </w:r>
          </w:p>
        </w:tc>
      </w:tr>
      <w:tr w14:paraId="4B20C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53BE99C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7C9450DA">
            <w:pPr>
              <w:jc w:val="center"/>
              <w:rPr>
                <w:rFonts w:hint="default" w:cs="Times New Roman"/>
                <w:kern w:val="2"/>
                <w:sz w:val="28"/>
                <w:szCs w:val="28"/>
                <w:lang w:val="en-US" w:eastAsia="zh-CN" w:bidi="ar-SA"/>
              </w:rPr>
            </w:pPr>
            <w:r>
              <w:rPr>
                <w:rFonts w:hint="eastAsia" w:cs="Times New Roman"/>
                <w:kern w:val="2"/>
                <w:sz w:val="28"/>
                <w:szCs w:val="28"/>
                <w:lang w:val="en-US" w:eastAsia="zh-CN" w:bidi="ar-SA"/>
              </w:rPr>
              <w:t>林葵</w:t>
            </w:r>
          </w:p>
        </w:tc>
        <w:tc>
          <w:tcPr>
            <w:tcW w:w="1861" w:type="dxa"/>
            <w:shd w:val="clear" w:color="auto" w:fill="auto"/>
            <w:noWrap w:val="0"/>
            <w:vAlign w:val="center"/>
          </w:tcPr>
          <w:p w14:paraId="6588616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cs="Times New Roman"/>
                <w:kern w:val="2"/>
                <w:sz w:val="28"/>
                <w:szCs w:val="28"/>
                <w:lang w:val="en-US" w:eastAsia="zh-CN" w:bidi="ar-SA"/>
              </w:rPr>
            </w:pPr>
            <w:r>
              <w:rPr>
                <w:rFonts w:hint="eastAsia" w:cs="Times New Roman"/>
                <w:kern w:val="2"/>
                <w:sz w:val="28"/>
                <w:szCs w:val="28"/>
                <w:lang w:val="en-US" w:eastAsia="zh-CN" w:bidi="ar-SA"/>
              </w:rPr>
              <w:t>教授级高级</w:t>
            </w:r>
            <w:r>
              <w:rPr>
                <w:rFonts w:hint="eastAsia" w:ascii="Times New Roman" w:hAnsi="Times New Roman" w:eastAsia="仿宋_GB2312" w:cs="Times New Roman"/>
                <w:sz w:val="28"/>
                <w:szCs w:val="28"/>
                <w:lang w:val="en-US" w:eastAsia="zh-CN"/>
              </w:rPr>
              <w:t>工程师</w:t>
            </w:r>
          </w:p>
        </w:tc>
        <w:tc>
          <w:tcPr>
            <w:tcW w:w="2564" w:type="dxa"/>
            <w:shd w:val="clear" w:color="auto" w:fill="auto"/>
            <w:noWrap w:val="0"/>
            <w:vAlign w:val="center"/>
          </w:tcPr>
          <w:p w14:paraId="721CEF7F">
            <w:pPr>
              <w:jc w:val="center"/>
              <w:rPr>
                <w:rFonts w:hint="default" w:cs="Times New Roman"/>
                <w:kern w:val="2"/>
                <w:sz w:val="28"/>
                <w:szCs w:val="28"/>
                <w:lang w:val="en-US" w:eastAsia="zh-CN" w:bidi="ar-SA"/>
              </w:rPr>
            </w:pPr>
            <w:r>
              <w:rPr>
                <w:rFonts w:hint="eastAsia" w:cs="Times New Roman"/>
                <w:kern w:val="2"/>
                <w:sz w:val="28"/>
                <w:szCs w:val="28"/>
                <w:lang w:val="en-US" w:eastAsia="zh-CN" w:bidi="ar-SA"/>
              </w:rPr>
              <w:t>化学分析</w:t>
            </w:r>
          </w:p>
        </w:tc>
        <w:tc>
          <w:tcPr>
            <w:tcW w:w="2801" w:type="dxa"/>
            <w:shd w:val="clear" w:color="auto" w:fill="auto"/>
            <w:noWrap w:val="0"/>
            <w:vAlign w:val="center"/>
          </w:tcPr>
          <w:p w14:paraId="240EA4A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rPr>
              <w:t>广西壮族自治区</w:t>
            </w:r>
            <w:r>
              <w:rPr>
                <w:rFonts w:hint="eastAsia" w:ascii="Times New Roman" w:hAnsi="Times New Roman" w:cs="Times New Roman"/>
                <w:sz w:val="28"/>
                <w:szCs w:val="28"/>
                <w:lang w:val="en-US" w:eastAsia="zh-CN"/>
              </w:rPr>
              <w:t>分析测试研究中心</w:t>
            </w:r>
          </w:p>
        </w:tc>
      </w:tr>
      <w:tr w14:paraId="23406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20BADCF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58C456EE">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袁健童</w:t>
            </w:r>
          </w:p>
        </w:tc>
        <w:tc>
          <w:tcPr>
            <w:tcW w:w="1861" w:type="dxa"/>
            <w:shd w:val="clear" w:color="auto" w:fill="auto"/>
            <w:noWrap w:val="0"/>
            <w:vAlign w:val="center"/>
          </w:tcPr>
          <w:p w14:paraId="79EB9106">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助理研究员</w:t>
            </w:r>
          </w:p>
        </w:tc>
        <w:tc>
          <w:tcPr>
            <w:tcW w:w="2564" w:type="dxa"/>
            <w:shd w:val="clear" w:color="auto" w:fill="auto"/>
            <w:noWrap w:val="0"/>
            <w:vAlign w:val="center"/>
          </w:tcPr>
          <w:p w14:paraId="119C99A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仿宋_GB2312" w:cs="Times New Roman"/>
                <w:kern w:val="2"/>
                <w:sz w:val="28"/>
                <w:szCs w:val="28"/>
                <w:lang w:val="en-US" w:eastAsia="zh-CN" w:bidi="ar-SA"/>
              </w:rPr>
            </w:pPr>
            <w:r>
              <w:rPr>
                <w:rFonts w:hint="eastAsia" w:ascii="Times New Roman" w:hAnsi="Times New Roman" w:eastAsia="仿宋_GB2312" w:cs="Times New Roman"/>
                <w:sz w:val="28"/>
                <w:szCs w:val="28"/>
              </w:rPr>
              <w:t>中药民族药质量标准研究</w:t>
            </w:r>
          </w:p>
        </w:tc>
        <w:tc>
          <w:tcPr>
            <w:tcW w:w="2801" w:type="dxa"/>
            <w:shd w:val="clear" w:color="auto" w:fill="auto"/>
            <w:noWrap w:val="0"/>
            <w:vAlign w:val="center"/>
          </w:tcPr>
          <w:p w14:paraId="467D696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rPr>
              <w:t>广西</w:t>
            </w:r>
            <w:r>
              <w:rPr>
                <w:rFonts w:hint="eastAsia" w:ascii="Times New Roman" w:hAnsi="Times New Roman" w:cs="Times New Roman"/>
                <w:sz w:val="28"/>
                <w:szCs w:val="28"/>
                <w:lang w:val="en-US" w:eastAsia="zh-CN"/>
              </w:rPr>
              <w:t>中医药研究院</w:t>
            </w:r>
            <w:bookmarkStart w:id="0" w:name="_GoBack"/>
            <w:bookmarkEnd w:id="0"/>
          </w:p>
        </w:tc>
      </w:tr>
      <w:tr w14:paraId="70CD2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50DE357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0473A747">
            <w:pPr>
              <w:jc w:val="center"/>
              <w:rPr>
                <w:rFonts w:hint="eastAsia"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韦升坚</w:t>
            </w:r>
          </w:p>
        </w:tc>
        <w:tc>
          <w:tcPr>
            <w:tcW w:w="1861" w:type="dxa"/>
            <w:shd w:val="clear" w:color="auto" w:fill="auto"/>
            <w:noWrap w:val="0"/>
            <w:vAlign w:val="center"/>
          </w:tcPr>
          <w:p w14:paraId="4D404762">
            <w:pPr>
              <w:jc w:val="center"/>
              <w:rPr>
                <w:rFonts w:hint="eastAsia"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高级工程师</w:t>
            </w:r>
          </w:p>
        </w:tc>
        <w:tc>
          <w:tcPr>
            <w:tcW w:w="2564" w:type="dxa"/>
            <w:shd w:val="clear" w:color="auto" w:fill="auto"/>
            <w:noWrap w:val="0"/>
            <w:vAlign w:val="center"/>
          </w:tcPr>
          <w:p w14:paraId="7ACCD8DC">
            <w:pPr>
              <w:jc w:val="center"/>
              <w:rPr>
                <w:rFonts w:hint="eastAsia"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化学分析</w:t>
            </w:r>
          </w:p>
        </w:tc>
        <w:tc>
          <w:tcPr>
            <w:tcW w:w="2801" w:type="dxa"/>
            <w:shd w:val="clear" w:color="auto" w:fill="auto"/>
            <w:noWrap w:val="0"/>
            <w:vAlign w:val="center"/>
          </w:tcPr>
          <w:p w14:paraId="3308CD4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sz w:val="28"/>
                <w:szCs w:val="28"/>
                <w:lang w:val="en-US" w:eastAsia="zh-CN"/>
              </w:rPr>
              <w:t>广西-东盟食品检验检测中心</w:t>
            </w:r>
          </w:p>
        </w:tc>
      </w:tr>
      <w:tr w14:paraId="095F1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3B8F28D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6AF86E27">
            <w:pPr>
              <w:jc w:val="center"/>
              <w:rPr>
                <w:rFonts w:hint="default" w:cs="Times New Roman"/>
                <w:kern w:val="2"/>
                <w:sz w:val="28"/>
                <w:szCs w:val="28"/>
                <w:lang w:val="en-US" w:eastAsia="zh-CN" w:bidi="ar-SA"/>
              </w:rPr>
            </w:pPr>
            <w:r>
              <w:rPr>
                <w:rFonts w:hint="eastAsia" w:cs="Times New Roman"/>
                <w:kern w:val="2"/>
                <w:sz w:val="28"/>
                <w:szCs w:val="28"/>
                <w:lang w:val="en-US" w:eastAsia="zh-CN" w:bidi="ar-SA"/>
              </w:rPr>
              <w:t>林一雄</w:t>
            </w:r>
          </w:p>
        </w:tc>
        <w:tc>
          <w:tcPr>
            <w:tcW w:w="1861" w:type="dxa"/>
            <w:shd w:val="clear" w:color="auto" w:fill="auto"/>
            <w:noWrap w:val="0"/>
            <w:vAlign w:val="center"/>
          </w:tcPr>
          <w:p w14:paraId="79741F0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cs="Times New Roman"/>
                <w:kern w:val="2"/>
                <w:sz w:val="28"/>
                <w:szCs w:val="28"/>
                <w:lang w:val="en-US" w:eastAsia="zh-CN" w:bidi="ar-SA"/>
              </w:rPr>
            </w:pPr>
            <w:r>
              <w:rPr>
                <w:rFonts w:hint="eastAsia" w:cs="Times New Roman"/>
                <w:kern w:val="2"/>
                <w:sz w:val="28"/>
                <w:szCs w:val="28"/>
                <w:lang w:val="en-US" w:eastAsia="zh-CN" w:bidi="ar-SA"/>
              </w:rPr>
              <w:t>教授级高级工程师</w:t>
            </w:r>
          </w:p>
        </w:tc>
        <w:tc>
          <w:tcPr>
            <w:tcW w:w="2564" w:type="dxa"/>
            <w:shd w:val="clear" w:color="auto" w:fill="auto"/>
            <w:noWrap w:val="0"/>
            <w:vAlign w:val="center"/>
          </w:tcPr>
          <w:p w14:paraId="5B066D5F">
            <w:pPr>
              <w:jc w:val="center"/>
              <w:rPr>
                <w:rFonts w:hint="default" w:cs="Times New Roman"/>
                <w:kern w:val="2"/>
                <w:sz w:val="28"/>
                <w:szCs w:val="28"/>
                <w:lang w:val="en-US" w:eastAsia="zh-CN" w:bidi="ar-SA"/>
              </w:rPr>
            </w:pPr>
            <w:r>
              <w:rPr>
                <w:rFonts w:hint="eastAsia" w:cs="Times New Roman"/>
                <w:kern w:val="2"/>
                <w:sz w:val="28"/>
                <w:szCs w:val="28"/>
                <w:lang w:val="en-US" w:eastAsia="zh-CN" w:bidi="ar-SA"/>
              </w:rPr>
              <w:t>食品加工</w:t>
            </w:r>
          </w:p>
        </w:tc>
        <w:tc>
          <w:tcPr>
            <w:tcW w:w="2801" w:type="dxa"/>
            <w:shd w:val="clear" w:color="auto" w:fill="auto"/>
            <w:noWrap w:val="0"/>
            <w:vAlign w:val="center"/>
          </w:tcPr>
          <w:p w14:paraId="0970AB9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广西轻工业科学技术研究院有限公司</w:t>
            </w:r>
          </w:p>
        </w:tc>
      </w:tr>
      <w:tr w14:paraId="743E6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1758A7C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409F8642">
            <w:pPr>
              <w:jc w:val="center"/>
              <w:rPr>
                <w:rFonts w:hint="eastAsia" w:ascii="Calibri" w:hAnsi="Calibri" w:eastAsia="仿宋_GB2312" w:cs="Times New Roman"/>
                <w:kern w:val="2"/>
                <w:sz w:val="28"/>
                <w:szCs w:val="28"/>
                <w:lang w:val="en-US" w:eastAsia="zh-CN" w:bidi="ar-SA"/>
              </w:rPr>
            </w:pPr>
            <w:r>
              <w:rPr>
                <w:rFonts w:hint="eastAsia"/>
                <w:sz w:val="28"/>
                <w:szCs w:val="28"/>
                <w:lang w:val="en-US" w:eastAsia="zh-CN"/>
              </w:rPr>
              <w:t>黄璐璐</w:t>
            </w:r>
          </w:p>
        </w:tc>
        <w:tc>
          <w:tcPr>
            <w:tcW w:w="1861" w:type="dxa"/>
            <w:shd w:val="clear" w:color="auto" w:fill="auto"/>
            <w:noWrap w:val="0"/>
            <w:vAlign w:val="center"/>
          </w:tcPr>
          <w:p w14:paraId="3E3530DD">
            <w:pPr>
              <w:jc w:val="center"/>
              <w:rPr>
                <w:rFonts w:hint="eastAsia" w:ascii="Calibri" w:hAnsi="Calibri" w:eastAsia="仿宋_GB2312" w:cs="Times New Roman"/>
                <w:kern w:val="2"/>
                <w:sz w:val="28"/>
                <w:szCs w:val="28"/>
                <w:lang w:val="en-US" w:eastAsia="zh-CN" w:bidi="ar-SA"/>
              </w:rPr>
            </w:pPr>
            <w:r>
              <w:rPr>
                <w:rFonts w:hint="eastAsia" w:eastAsia="仿宋_GB2312"/>
                <w:sz w:val="28"/>
                <w:szCs w:val="28"/>
              </w:rPr>
              <w:t>高级工程师</w:t>
            </w:r>
          </w:p>
        </w:tc>
        <w:tc>
          <w:tcPr>
            <w:tcW w:w="2564" w:type="dxa"/>
            <w:shd w:val="clear" w:color="auto" w:fill="auto"/>
            <w:noWrap w:val="0"/>
            <w:vAlign w:val="center"/>
          </w:tcPr>
          <w:p w14:paraId="31CE6C4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仿宋_GB2312" w:cs="Times New Roman"/>
                <w:kern w:val="2"/>
                <w:sz w:val="28"/>
                <w:szCs w:val="28"/>
                <w:lang w:val="en-US" w:eastAsia="zh-CN" w:bidi="ar-SA"/>
              </w:rPr>
            </w:pPr>
            <w:r>
              <w:rPr>
                <w:rFonts w:hint="eastAsia" w:cs="Times New Roman"/>
                <w:kern w:val="2"/>
                <w:sz w:val="28"/>
                <w:szCs w:val="28"/>
                <w:lang w:val="en-US" w:eastAsia="zh-CN" w:bidi="ar-SA"/>
              </w:rPr>
              <w:t>化学分析</w:t>
            </w:r>
          </w:p>
        </w:tc>
        <w:tc>
          <w:tcPr>
            <w:tcW w:w="2801" w:type="dxa"/>
            <w:shd w:val="clear" w:color="auto" w:fill="auto"/>
            <w:noWrap w:val="0"/>
            <w:vAlign w:val="center"/>
          </w:tcPr>
          <w:p w14:paraId="36EFFB2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sz w:val="28"/>
                <w:szCs w:val="28"/>
              </w:rPr>
              <w:t>广西壮族自治区</w:t>
            </w:r>
            <w:r>
              <w:rPr>
                <w:rFonts w:hint="eastAsia" w:ascii="Times New Roman" w:hAnsi="Times New Roman" w:cs="Times New Roman"/>
                <w:sz w:val="28"/>
                <w:szCs w:val="28"/>
                <w:lang w:val="en-US" w:eastAsia="zh-CN"/>
              </w:rPr>
              <w:t>分析测试研究中心</w:t>
            </w:r>
          </w:p>
        </w:tc>
      </w:tr>
      <w:tr w14:paraId="4C6D6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554423E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3A7387EE">
            <w:pPr>
              <w:jc w:val="center"/>
              <w:rPr>
                <w:rFonts w:hint="eastAsia"/>
                <w:sz w:val="28"/>
                <w:szCs w:val="28"/>
                <w:lang w:val="en-US" w:eastAsia="zh-CN"/>
              </w:rPr>
            </w:pPr>
            <w:r>
              <w:rPr>
                <w:rFonts w:hint="eastAsia"/>
                <w:sz w:val="28"/>
                <w:szCs w:val="28"/>
                <w:lang w:val="en-US" w:eastAsia="zh-CN"/>
              </w:rPr>
              <w:t>张思敏</w:t>
            </w:r>
          </w:p>
        </w:tc>
        <w:tc>
          <w:tcPr>
            <w:tcW w:w="1861" w:type="dxa"/>
            <w:shd w:val="clear" w:color="auto" w:fill="auto"/>
            <w:noWrap w:val="0"/>
            <w:vAlign w:val="center"/>
          </w:tcPr>
          <w:p w14:paraId="4D16B02B">
            <w:pPr>
              <w:jc w:val="center"/>
              <w:rPr>
                <w:rFonts w:hint="eastAsia" w:eastAsia="仿宋_GB2312"/>
                <w:sz w:val="28"/>
                <w:szCs w:val="28"/>
              </w:rPr>
            </w:pPr>
            <w:r>
              <w:rPr>
                <w:rFonts w:hint="eastAsia" w:eastAsia="仿宋_GB2312"/>
                <w:sz w:val="28"/>
                <w:szCs w:val="28"/>
              </w:rPr>
              <w:t>高级工程师</w:t>
            </w:r>
          </w:p>
        </w:tc>
        <w:tc>
          <w:tcPr>
            <w:tcW w:w="2564" w:type="dxa"/>
            <w:shd w:val="clear" w:color="auto" w:fill="auto"/>
            <w:noWrap w:val="0"/>
            <w:vAlign w:val="center"/>
          </w:tcPr>
          <w:p w14:paraId="2B1510D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cs="Times New Roman"/>
                <w:kern w:val="2"/>
                <w:sz w:val="28"/>
                <w:szCs w:val="28"/>
                <w:lang w:val="en-US" w:eastAsia="zh-CN" w:bidi="ar-SA"/>
              </w:rPr>
            </w:pPr>
            <w:r>
              <w:rPr>
                <w:rFonts w:hint="eastAsia" w:cs="Times New Roman"/>
                <w:kern w:val="2"/>
                <w:sz w:val="28"/>
                <w:szCs w:val="28"/>
                <w:lang w:val="en-US" w:eastAsia="zh-CN" w:bidi="ar-SA"/>
              </w:rPr>
              <w:t>化学分析</w:t>
            </w:r>
          </w:p>
        </w:tc>
        <w:tc>
          <w:tcPr>
            <w:tcW w:w="2801" w:type="dxa"/>
            <w:shd w:val="clear" w:color="auto" w:fill="auto"/>
            <w:noWrap w:val="0"/>
            <w:vAlign w:val="center"/>
          </w:tcPr>
          <w:p w14:paraId="67F9B88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广西壮族自治区</w:t>
            </w:r>
            <w:r>
              <w:rPr>
                <w:rFonts w:hint="eastAsia" w:ascii="Times New Roman" w:hAnsi="Times New Roman" w:cs="Times New Roman"/>
                <w:sz w:val="28"/>
                <w:szCs w:val="28"/>
                <w:lang w:val="en-US" w:eastAsia="zh-CN"/>
              </w:rPr>
              <w:t>分析测试研究中心</w:t>
            </w:r>
          </w:p>
        </w:tc>
      </w:tr>
      <w:tr w14:paraId="26274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24EF622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6C9F2FFA">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黄晓露</w:t>
            </w:r>
          </w:p>
        </w:tc>
        <w:tc>
          <w:tcPr>
            <w:tcW w:w="1861" w:type="dxa"/>
            <w:shd w:val="clear" w:color="auto" w:fill="auto"/>
            <w:noWrap w:val="0"/>
            <w:vAlign w:val="center"/>
          </w:tcPr>
          <w:p w14:paraId="1D7CA3D1">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高级工程师</w:t>
            </w:r>
          </w:p>
        </w:tc>
        <w:tc>
          <w:tcPr>
            <w:tcW w:w="2564" w:type="dxa"/>
            <w:shd w:val="clear" w:color="auto" w:fill="auto"/>
            <w:noWrap w:val="0"/>
            <w:vAlign w:val="center"/>
          </w:tcPr>
          <w:p w14:paraId="56A27691">
            <w:pPr>
              <w:jc w:val="center"/>
              <w:rPr>
                <w:rFonts w:hint="default" w:ascii="Calibri" w:hAnsi="Calibri" w:eastAsia="仿宋_GB2312" w:cs="Times New Roman"/>
                <w:kern w:val="2"/>
                <w:sz w:val="28"/>
                <w:szCs w:val="28"/>
                <w:lang w:val="en-US" w:eastAsia="zh-CN" w:bidi="ar-SA"/>
              </w:rPr>
            </w:pPr>
            <w:r>
              <w:rPr>
                <w:rFonts w:hint="eastAsia"/>
                <w:sz w:val="28"/>
                <w:szCs w:val="28"/>
                <w:lang w:val="en-US" w:eastAsia="zh-CN"/>
              </w:rPr>
              <w:t>森林食品</w:t>
            </w:r>
          </w:p>
        </w:tc>
        <w:tc>
          <w:tcPr>
            <w:tcW w:w="2801" w:type="dxa"/>
            <w:shd w:val="clear" w:color="auto" w:fill="auto"/>
            <w:noWrap w:val="0"/>
            <w:vAlign w:val="center"/>
          </w:tcPr>
          <w:p w14:paraId="7ED53A5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sz w:val="28"/>
                <w:szCs w:val="28"/>
              </w:rPr>
              <w:t>广西壮族自治区林业科学研究院</w:t>
            </w:r>
          </w:p>
        </w:tc>
      </w:tr>
      <w:tr w14:paraId="7C70C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13AF3CB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5FA8A608">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廖</w:t>
            </w:r>
            <w:r>
              <w:rPr>
                <w:rFonts w:hint="eastAsia"/>
                <w:sz w:val="28"/>
                <w:szCs w:val="28"/>
                <w:lang w:val="en-US" w:eastAsia="zh-CN"/>
              </w:rPr>
              <w:t>健</w:t>
            </w:r>
            <w:r>
              <w:rPr>
                <w:rFonts w:hint="eastAsia" w:eastAsia="仿宋_GB2312"/>
                <w:sz w:val="28"/>
                <w:szCs w:val="28"/>
              </w:rPr>
              <w:t>明</w:t>
            </w:r>
          </w:p>
        </w:tc>
        <w:tc>
          <w:tcPr>
            <w:tcW w:w="1861" w:type="dxa"/>
            <w:shd w:val="clear" w:color="auto" w:fill="auto"/>
            <w:noWrap w:val="0"/>
            <w:vAlign w:val="center"/>
          </w:tcPr>
          <w:p w14:paraId="7F1BCC1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仿宋_GB2312" w:cs="Times New Roman"/>
                <w:kern w:val="2"/>
                <w:sz w:val="28"/>
                <w:szCs w:val="28"/>
                <w:lang w:val="en-US" w:eastAsia="zh-CN" w:bidi="ar-SA"/>
              </w:rPr>
            </w:pPr>
            <w:r>
              <w:rPr>
                <w:rFonts w:hint="eastAsia" w:eastAsia="仿宋_GB2312"/>
                <w:sz w:val="28"/>
                <w:szCs w:val="28"/>
              </w:rPr>
              <w:t>正高级工程师</w:t>
            </w:r>
          </w:p>
        </w:tc>
        <w:tc>
          <w:tcPr>
            <w:tcW w:w="2564" w:type="dxa"/>
            <w:shd w:val="clear" w:color="auto" w:fill="auto"/>
            <w:noWrap w:val="0"/>
            <w:vAlign w:val="center"/>
          </w:tcPr>
          <w:p w14:paraId="3040393B">
            <w:pPr>
              <w:jc w:val="center"/>
              <w:rPr>
                <w:rFonts w:hint="default" w:ascii="Calibri" w:hAnsi="Calibri" w:eastAsia="仿宋_GB2312" w:cs="Times New Roman"/>
                <w:kern w:val="2"/>
                <w:sz w:val="28"/>
                <w:szCs w:val="28"/>
                <w:lang w:val="en-US" w:eastAsia="zh-CN" w:bidi="ar-SA"/>
              </w:rPr>
            </w:pPr>
            <w:r>
              <w:rPr>
                <w:rFonts w:hint="eastAsia"/>
                <w:sz w:val="28"/>
                <w:szCs w:val="28"/>
                <w:lang w:val="en-US" w:eastAsia="zh-CN"/>
              </w:rPr>
              <w:t>森林食品</w:t>
            </w:r>
          </w:p>
        </w:tc>
        <w:tc>
          <w:tcPr>
            <w:tcW w:w="2801" w:type="dxa"/>
            <w:shd w:val="clear" w:color="auto" w:fill="auto"/>
            <w:noWrap w:val="0"/>
            <w:vAlign w:val="center"/>
          </w:tcPr>
          <w:p w14:paraId="4FC3580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sz w:val="28"/>
                <w:szCs w:val="28"/>
                <w:lang w:val="en-US" w:eastAsia="zh-CN"/>
              </w:rPr>
              <w:t>广西壮族自治区林业科学研究院</w:t>
            </w:r>
          </w:p>
        </w:tc>
      </w:tr>
      <w:tr w14:paraId="6A9FF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64031F1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赵</w:t>
            </w:r>
          </w:p>
        </w:tc>
        <w:tc>
          <w:tcPr>
            <w:tcW w:w="1401" w:type="dxa"/>
            <w:shd w:val="clear" w:color="auto" w:fill="auto"/>
            <w:noWrap w:val="0"/>
            <w:vAlign w:val="center"/>
          </w:tcPr>
          <w:p w14:paraId="3D110588">
            <w:pPr>
              <w:jc w:val="center"/>
              <w:rPr>
                <w:rFonts w:hint="default" w:eastAsia="仿宋_GB2312"/>
                <w:sz w:val="28"/>
                <w:szCs w:val="28"/>
                <w:lang w:val="en-US" w:eastAsia="zh-CN"/>
              </w:rPr>
            </w:pPr>
            <w:r>
              <w:rPr>
                <w:rFonts w:hint="eastAsia"/>
                <w:sz w:val="28"/>
                <w:szCs w:val="28"/>
                <w:lang w:val="en-US" w:eastAsia="zh-CN"/>
              </w:rPr>
              <w:t>赵志珩</w:t>
            </w:r>
          </w:p>
        </w:tc>
        <w:tc>
          <w:tcPr>
            <w:tcW w:w="1861" w:type="dxa"/>
            <w:shd w:val="clear" w:color="auto" w:fill="auto"/>
            <w:noWrap w:val="0"/>
            <w:vAlign w:val="center"/>
          </w:tcPr>
          <w:p w14:paraId="0026079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仿宋_GB2312"/>
                <w:sz w:val="28"/>
                <w:szCs w:val="28"/>
                <w:lang w:val="en-US" w:eastAsia="zh-CN"/>
              </w:rPr>
            </w:pPr>
            <w:r>
              <w:rPr>
                <w:rFonts w:hint="eastAsia"/>
                <w:sz w:val="28"/>
                <w:szCs w:val="28"/>
                <w:lang w:val="en-US" w:eastAsia="zh-CN"/>
              </w:rPr>
              <w:t>高级工程师</w:t>
            </w:r>
          </w:p>
        </w:tc>
        <w:tc>
          <w:tcPr>
            <w:tcW w:w="2564" w:type="dxa"/>
            <w:shd w:val="clear" w:color="auto" w:fill="auto"/>
            <w:noWrap w:val="0"/>
            <w:vAlign w:val="center"/>
          </w:tcPr>
          <w:p w14:paraId="65E0B440">
            <w:pPr>
              <w:jc w:val="center"/>
              <w:rPr>
                <w:rFonts w:hint="default" w:eastAsia="仿宋_GB2312"/>
                <w:sz w:val="28"/>
                <w:szCs w:val="28"/>
                <w:lang w:val="en-US" w:eastAsia="zh-CN"/>
              </w:rPr>
            </w:pPr>
            <w:r>
              <w:rPr>
                <w:rFonts w:hint="eastAsia"/>
                <w:sz w:val="28"/>
                <w:szCs w:val="28"/>
                <w:lang w:val="en-US" w:eastAsia="zh-CN"/>
              </w:rPr>
              <w:t>森林食品</w:t>
            </w:r>
          </w:p>
        </w:tc>
        <w:tc>
          <w:tcPr>
            <w:tcW w:w="2801" w:type="dxa"/>
            <w:shd w:val="clear" w:color="auto" w:fill="auto"/>
            <w:noWrap w:val="0"/>
            <w:vAlign w:val="center"/>
          </w:tcPr>
          <w:p w14:paraId="53265F6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广西壮族自治区林业科学研究院</w:t>
            </w:r>
          </w:p>
        </w:tc>
      </w:tr>
      <w:tr w14:paraId="5A7E7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58DA200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22D5411C">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林叶新</w:t>
            </w:r>
          </w:p>
        </w:tc>
        <w:tc>
          <w:tcPr>
            <w:tcW w:w="1861" w:type="dxa"/>
            <w:shd w:val="clear" w:color="auto" w:fill="auto"/>
            <w:noWrap w:val="0"/>
            <w:vAlign w:val="center"/>
          </w:tcPr>
          <w:p w14:paraId="277516BF">
            <w:pPr>
              <w:jc w:val="center"/>
              <w:rPr>
                <w:rFonts w:hint="default" w:ascii="Calibri" w:hAnsi="Calibri" w:eastAsia="仿宋_GB2312" w:cs="Times New Roman"/>
                <w:kern w:val="2"/>
                <w:sz w:val="28"/>
                <w:szCs w:val="28"/>
                <w:lang w:val="en-US" w:eastAsia="zh-CN" w:bidi="ar-SA"/>
              </w:rPr>
            </w:pPr>
            <w:r>
              <w:rPr>
                <w:rFonts w:hint="default" w:ascii="Calibri" w:hAnsi="Calibri" w:eastAsia="仿宋_GB2312" w:cs="Times New Roman"/>
                <w:kern w:val="2"/>
                <w:sz w:val="28"/>
                <w:szCs w:val="28"/>
                <w:lang w:val="en-US" w:eastAsia="zh-CN" w:bidi="ar-SA"/>
              </w:rPr>
              <w:t>副教授</w:t>
            </w:r>
          </w:p>
        </w:tc>
        <w:tc>
          <w:tcPr>
            <w:tcW w:w="2564" w:type="dxa"/>
            <w:shd w:val="clear" w:color="auto" w:fill="auto"/>
            <w:noWrap w:val="0"/>
            <w:vAlign w:val="center"/>
          </w:tcPr>
          <w:p w14:paraId="2A900F28">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食品研究</w:t>
            </w:r>
          </w:p>
        </w:tc>
        <w:tc>
          <w:tcPr>
            <w:tcW w:w="2801" w:type="dxa"/>
            <w:shd w:val="clear" w:color="auto" w:fill="auto"/>
            <w:noWrap w:val="0"/>
            <w:vAlign w:val="center"/>
          </w:tcPr>
          <w:p w14:paraId="6753EBC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广西职业技术学院</w:t>
            </w:r>
          </w:p>
        </w:tc>
      </w:tr>
      <w:tr w14:paraId="70CDE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2A0CDBB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442315B6">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刘丽欢</w:t>
            </w:r>
          </w:p>
        </w:tc>
        <w:tc>
          <w:tcPr>
            <w:tcW w:w="1861" w:type="dxa"/>
            <w:shd w:val="clear" w:color="auto" w:fill="auto"/>
            <w:noWrap w:val="0"/>
            <w:vAlign w:val="center"/>
          </w:tcPr>
          <w:p w14:paraId="51569C0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仿宋_GB2312" w:cs="Times New Roman"/>
                <w:kern w:val="2"/>
                <w:sz w:val="28"/>
                <w:szCs w:val="28"/>
                <w:lang w:val="en-US" w:eastAsia="zh-CN" w:bidi="ar-SA"/>
              </w:rPr>
            </w:pPr>
            <w:r>
              <w:rPr>
                <w:rFonts w:hint="default" w:ascii="Calibri" w:hAnsi="Calibri" w:eastAsia="仿宋_GB2312" w:cs="Times New Roman"/>
                <w:kern w:val="2"/>
                <w:sz w:val="28"/>
                <w:szCs w:val="28"/>
                <w:lang w:val="en-US" w:eastAsia="zh-CN" w:bidi="ar-SA"/>
              </w:rPr>
              <w:t>副教授</w:t>
            </w:r>
          </w:p>
        </w:tc>
        <w:tc>
          <w:tcPr>
            <w:tcW w:w="2564" w:type="dxa"/>
            <w:shd w:val="clear" w:color="auto" w:fill="auto"/>
            <w:noWrap w:val="0"/>
            <w:vAlign w:val="center"/>
          </w:tcPr>
          <w:p w14:paraId="73D2595B">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项目管理学</w:t>
            </w:r>
          </w:p>
        </w:tc>
        <w:tc>
          <w:tcPr>
            <w:tcW w:w="2801" w:type="dxa"/>
            <w:shd w:val="clear" w:color="auto" w:fill="auto"/>
            <w:noWrap w:val="0"/>
            <w:vAlign w:val="center"/>
          </w:tcPr>
          <w:p w14:paraId="4531501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广西国际商务职业技术学院</w:t>
            </w:r>
          </w:p>
        </w:tc>
      </w:tr>
      <w:tr w14:paraId="4CD23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060679D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14683CC8">
            <w:pPr>
              <w:jc w:val="center"/>
              <w:rPr>
                <w:rFonts w:hint="eastAsia" w:cs="Times New Roman"/>
                <w:kern w:val="2"/>
                <w:sz w:val="28"/>
                <w:szCs w:val="28"/>
                <w:lang w:val="en-US" w:eastAsia="zh-CN" w:bidi="ar-SA"/>
              </w:rPr>
            </w:pPr>
            <w:r>
              <w:rPr>
                <w:rFonts w:hint="eastAsia" w:cs="Times New Roman"/>
                <w:kern w:val="2"/>
                <w:sz w:val="28"/>
                <w:szCs w:val="28"/>
                <w:lang w:val="en-US" w:eastAsia="zh-CN" w:bidi="ar-SA"/>
              </w:rPr>
              <w:t>邓海涛</w:t>
            </w:r>
          </w:p>
        </w:tc>
        <w:tc>
          <w:tcPr>
            <w:tcW w:w="1861" w:type="dxa"/>
            <w:shd w:val="clear" w:color="auto" w:fill="auto"/>
            <w:noWrap w:val="0"/>
            <w:vAlign w:val="center"/>
          </w:tcPr>
          <w:p w14:paraId="1276E66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仿宋_GB2312" w:cs="Times New Roman"/>
                <w:kern w:val="2"/>
                <w:sz w:val="28"/>
                <w:szCs w:val="28"/>
                <w:lang w:val="en-US" w:eastAsia="zh-CN" w:bidi="ar-SA"/>
              </w:rPr>
            </w:pPr>
            <w:r>
              <w:rPr>
                <w:rFonts w:hint="default" w:ascii="Calibri" w:hAnsi="Calibri" w:eastAsia="仿宋_GB2312" w:cs="Times New Roman"/>
                <w:kern w:val="2"/>
                <w:sz w:val="28"/>
                <w:szCs w:val="28"/>
                <w:lang w:val="en-US" w:eastAsia="zh-CN" w:bidi="ar-SA"/>
              </w:rPr>
              <w:t>副教授</w:t>
            </w:r>
          </w:p>
        </w:tc>
        <w:tc>
          <w:tcPr>
            <w:tcW w:w="2564" w:type="dxa"/>
            <w:shd w:val="clear" w:color="auto" w:fill="auto"/>
            <w:noWrap w:val="0"/>
            <w:vAlign w:val="center"/>
          </w:tcPr>
          <w:p w14:paraId="09836E79">
            <w:pPr>
              <w:jc w:val="center"/>
              <w:rPr>
                <w:rFonts w:hint="default" w:ascii="Calibri" w:hAnsi="Calibri" w:eastAsia="仿宋_GB2312" w:cs="Times New Roman"/>
                <w:kern w:val="2"/>
                <w:sz w:val="28"/>
                <w:szCs w:val="28"/>
                <w:lang w:val="en-US" w:eastAsia="zh-CN" w:bidi="ar-SA"/>
              </w:rPr>
            </w:pPr>
            <w:r>
              <w:rPr>
                <w:rFonts w:hint="default" w:ascii="Calibri" w:hAnsi="Calibri" w:eastAsia="仿宋_GB2312" w:cs="Times New Roman"/>
                <w:kern w:val="2"/>
                <w:sz w:val="28"/>
                <w:szCs w:val="28"/>
                <w:lang w:val="en-US" w:eastAsia="zh-CN" w:bidi="ar-SA"/>
              </w:rPr>
              <w:t xml:space="preserve"> 国际经济与贸易</w:t>
            </w:r>
          </w:p>
        </w:tc>
        <w:tc>
          <w:tcPr>
            <w:tcW w:w="2801" w:type="dxa"/>
            <w:shd w:val="clear" w:color="auto" w:fill="auto"/>
            <w:noWrap w:val="0"/>
            <w:vAlign w:val="center"/>
          </w:tcPr>
          <w:p w14:paraId="5A60C52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广西国际商务职业技术学院</w:t>
            </w:r>
          </w:p>
        </w:tc>
      </w:tr>
      <w:tr w14:paraId="45A3B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11279A8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748D2FE8">
            <w:pPr>
              <w:jc w:val="center"/>
              <w:rPr>
                <w:rFonts w:hint="eastAsia" w:cs="Times New Roman"/>
                <w:kern w:val="2"/>
                <w:sz w:val="28"/>
                <w:szCs w:val="28"/>
                <w:lang w:val="en-US" w:eastAsia="zh-CN" w:bidi="ar-SA"/>
              </w:rPr>
            </w:pPr>
            <w:r>
              <w:rPr>
                <w:rFonts w:hint="eastAsia" w:cs="Times New Roman"/>
                <w:kern w:val="2"/>
                <w:sz w:val="28"/>
                <w:szCs w:val="28"/>
                <w:lang w:val="en-US" w:eastAsia="zh-CN" w:bidi="ar-SA"/>
              </w:rPr>
              <w:t>曾海文</w:t>
            </w:r>
          </w:p>
        </w:tc>
        <w:tc>
          <w:tcPr>
            <w:tcW w:w="1861" w:type="dxa"/>
            <w:shd w:val="clear" w:color="auto" w:fill="auto"/>
            <w:noWrap w:val="0"/>
            <w:vAlign w:val="center"/>
          </w:tcPr>
          <w:p w14:paraId="73BB635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仿宋_GB2312" w:cs="Times New Roman"/>
                <w:kern w:val="2"/>
                <w:sz w:val="28"/>
                <w:szCs w:val="28"/>
                <w:lang w:val="en-US" w:eastAsia="zh-CN" w:bidi="ar-SA"/>
              </w:rPr>
            </w:pPr>
            <w:r>
              <w:rPr>
                <w:rFonts w:hint="default" w:ascii="Calibri" w:hAnsi="Calibri" w:eastAsia="仿宋_GB2312" w:cs="Times New Roman"/>
                <w:kern w:val="2"/>
                <w:sz w:val="28"/>
                <w:szCs w:val="28"/>
                <w:lang w:val="en-US" w:eastAsia="zh-CN" w:bidi="ar-SA"/>
              </w:rPr>
              <w:t>教授</w:t>
            </w:r>
          </w:p>
        </w:tc>
        <w:tc>
          <w:tcPr>
            <w:tcW w:w="2564" w:type="dxa"/>
            <w:shd w:val="clear" w:color="auto" w:fill="auto"/>
            <w:noWrap w:val="0"/>
            <w:vAlign w:val="center"/>
          </w:tcPr>
          <w:p w14:paraId="785B08AA">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AI大数据分析</w:t>
            </w:r>
          </w:p>
        </w:tc>
        <w:tc>
          <w:tcPr>
            <w:tcW w:w="2801" w:type="dxa"/>
            <w:shd w:val="clear" w:color="auto" w:fill="auto"/>
            <w:noWrap w:val="0"/>
            <w:vAlign w:val="center"/>
          </w:tcPr>
          <w:p w14:paraId="194017F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广西国际商务职业技术学院</w:t>
            </w:r>
          </w:p>
        </w:tc>
      </w:tr>
      <w:tr w14:paraId="03BB4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4394C91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199400F4">
            <w:pPr>
              <w:jc w:val="center"/>
              <w:rPr>
                <w:rFonts w:hint="eastAsia" w:cs="Times New Roman"/>
                <w:kern w:val="2"/>
                <w:sz w:val="28"/>
                <w:szCs w:val="28"/>
                <w:lang w:val="en-US" w:eastAsia="zh-CN" w:bidi="ar-SA"/>
              </w:rPr>
            </w:pPr>
            <w:r>
              <w:rPr>
                <w:rFonts w:hint="eastAsia" w:cs="Times New Roman"/>
                <w:kern w:val="2"/>
                <w:sz w:val="28"/>
                <w:szCs w:val="28"/>
                <w:lang w:val="en-US" w:eastAsia="zh-CN" w:bidi="ar-SA"/>
              </w:rPr>
              <w:t>郑蕾</w:t>
            </w:r>
          </w:p>
        </w:tc>
        <w:tc>
          <w:tcPr>
            <w:tcW w:w="1861" w:type="dxa"/>
            <w:shd w:val="clear" w:color="auto" w:fill="auto"/>
            <w:noWrap w:val="0"/>
            <w:vAlign w:val="center"/>
          </w:tcPr>
          <w:p w14:paraId="40B9A57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高级实验师</w:t>
            </w:r>
          </w:p>
        </w:tc>
        <w:tc>
          <w:tcPr>
            <w:tcW w:w="2564" w:type="dxa"/>
            <w:shd w:val="clear" w:color="auto" w:fill="auto"/>
            <w:noWrap w:val="0"/>
            <w:vAlign w:val="center"/>
          </w:tcPr>
          <w:p w14:paraId="6CF31430">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大数据分析</w:t>
            </w:r>
          </w:p>
        </w:tc>
        <w:tc>
          <w:tcPr>
            <w:tcW w:w="2801" w:type="dxa"/>
            <w:shd w:val="clear" w:color="auto" w:fill="auto"/>
            <w:noWrap w:val="0"/>
            <w:vAlign w:val="center"/>
          </w:tcPr>
          <w:p w14:paraId="16D6D8E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广西国际商务职业技术学院</w:t>
            </w:r>
          </w:p>
        </w:tc>
      </w:tr>
      <w:tr w14:paraId="2B24C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109A213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6369D084">
            <w:pPr>
              <w:jc w:val="center"/>
              <w:rPr>
                <w:rFonts w:hint="eastAsia" w:cs="Times New Roman"/>
                <w:kern w:val="2"/>
                <w:sz w:val="28"/>
                <w:szCs w:val="28"/>
                <w:lang w:val="en-US" w:eastAsia="zh-CN" w:bidi="ar-SA"/>
              </w:rPr>
            </w:pPr>
            <w:r>
              <w:rPr>
                <w:rFonts w:hint="eastAsia" w:cs="Times New Roman"/>
                <w:kern w:val="2"/>
                <w:sz w:val="28"/>
                <w:szCs w:val="28"/>
                <w:lang w:val="en-US" w:eastAsia="zh-CN" w:bidi="ar-SA"/>
              </w:rPr>
              <w:t>董三甲</w:t>
            </w:r>
          </w:p>
        </w:tc>
        <w:tc>
          <w:tcPr>
            <w:tcW w:w="1861" w:type="dxa"/>
            <w:shd w:val="clear" w:color="auto" w:fill="auto"/>
            <w:noWrap w:val="0"/>
            <w:vAlign w:val="center"/>
          </w:tcPr>
          <w:p w14:paraId="2178E9E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仿宋_GB2312" w:cs="Times New Roman"/>
                <w:kern w:val="2"/>
                <w:sz w:val="28"/>
                <w:szCs w:val="28"/>
                <w:lang w:val="en-US" w:eastAsia="zh-CN" w:bidi="ar-SA"/>
              </w:rPr>
            </w:pPr>
            <w:r>
              <w:rPr>
                <w:rFonts w:hint="default" w:ascii="Calibri" w:hAnsi="Calibri" w:eastAsia="仿宋_GB2312" w:cs="Times New Roman"/>
                <w:kern w:val="2"/>
                <w:sz w:val="28"/>
                <w:szCs w:val="28"/>
                <w:lang w:val="en-US" w:eastAsia="zh-CN" w:bidi="ar-SA"/>
              </w:rPr>
              <w:t>初级摄影师</w:t>
            </w:r>
          </w:p>
        </w:tc>
        <w:tc>
          <w:tcPr>
            <w:tcW w:w="2564" w:type="dxa"/>
            <w:shd w:val="clear" w:color="auto" w:fill="auto"/>
            <w:noWrap w:val="0"/>
            <w:vAlign w:val="center"/>
          </w:tcPr>
          <w:p w14:paraId="4F06ABFC">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初几摄影师</w:t>
            </w:r>
          </w:p>
        </w:tc>
        <w:tc>
          <w:tcPr>
            <w:tcW w:w="2801" w:type="dxa"/>
            <w:shd w:val="clear" w:color="auto" w:fill="auto"/>
            <w:noWrap w:val="0"/>
            <w:vAlign w:val="center"/>
          </w:tcPr>
          <w:p w14:paraId="56DB70A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广西国际商务职业技术学院</w:t>
            </w:r>
          </w:p>
        </w:tc>
      </w:tr>
      <w:tr w14:paraId="04F23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4CA0D3A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4D93D641">
            <w:pPr>
              <w:jc w:val="center"/>
              <w:rPr>
                <w:rFonts w:hint="eastAsia" w:cs="Times New Roman"/>
                <w:kern w:val="2"/>
                <w:sz w:val="28"/>
                <w:szCs w:val="28"/>
                <w:lang w:val="en-US" w:eastAsia="zh-CN" w:bidi="ar-SA"/>
              </w:rPr>
            </w:pPr>
            <w:r>
              <w:rPr>
                <w:rFonts w:hint="eastAsia" w:cs="Times New Roman"/>
                <w:kern w:val="2"/>
                <w:sz w:val="28"/>
                <w:szCs w:val="28"/>
                <w:lang w:val="en-US" w:eastAsia="zh-CN" w:bidi="ar-SA"/>
              </w:rPr>
              <w:t>刘珈伶</w:t>
            </w:r>
          </w:p>
        </w:tc>
        <w:tc>
          <w:tcPr>
            <w:tcW w:w="1861" w:type="dxa"/>
            <w:shd w:val="clear" w:color="auto" w:fill="auto"/>
            <w:noWrap w:val="0"/>
            <w:vAlign w:val="center"/>
          </w:tcPr>
          <w:p w14:paraId="3BDAD62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正高级实验师</w:t>
            </w:r>
          </w:p>
        </w:tc>
        <w:tc>
          <w:tcPr>
            <w:tcW w:w="2564" w:type="dxa"/>
            <w:shd w:val="clear" w:color="auto" w:fill="auto"/>
            <w:noWrap w:val="0"/>
            <w:vAlign w:val="center"/>
          </w:tcPr>
          <w:p w14:paraId="358863C0">
            <w:pPr>
              <w:jc w:val="center"/>
              <w:rPr>
                <w:rFonts w:hint="default" w:cs="Times New Roman"/>
                <w:kern w:val="2"/>
                <w:sz w:val="28"/>
                <w:szCs w:val="28"/>
                <w:lang w:val="en-US" w:eastAsia="zh-CN" w:bidi="ar-SA"/>
              </w:rPr>
            </w:pPr>
            <w:r>
              <w:rPr>
                <w:rFonts w:hint="eastAsia" w:cs="Times New Roman"/>
                <w:kern w:val="2"/>
                <w:sz w:val="28"/>
                <w:szCs w:val="28"/>
                <w:lang w:val="en-US" w:eastAsia="zh-CN" w:bidi="ar-SA"/>
              </w:rPr>
              <w:t>食品质量与安全</w:t>
            </w:r>
          </w:p>
        </w:tc>
        <w:tc>
          <w:tcPr>
            <w:tcW w:w="2801" w:type="dxa"/>
            <w:shd w:val="clear" w:color="auto" w:fill="auto"/>
            <w:noWrap w:val="0"/>
            <w:vAlign w:val="center"/>
          </w:tcPr>
          <w:p w14:paraId="51B27DA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广西-东盟食品检验检测中心</w:t>
            </w:r>
          </w:p>
        </w:tc>
      </w:tr>
      <w:tr w14:paraId="194AE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0109593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57157866">
            <w:pPr>
              <w:jc w:val="center"/>
              <w:rPr>
                <w:rFonts w:hint="eastAsia" w:cs="Times New Roman"/>
                <w:kern w:val="2"/>
                <w:sz w:val="28"/>
                <w:szCs w:val="28"/>
                <w:lang w:val="en-US" w:eastAsia="zh-CN" w:bidi="ar-SA"/>
              </w:rPr>
            </w:pPr>
            <w:r>
              <w:rPr>
                <w:rFonts w:hint="eastAsia" w:cs="Times New Roman"/>
                <w:kern w:val="2"/>
                <w:sz w:val="28"/>
                <w:szCs w:val="28"/>
                <w:lang w:val="en-US" w:eastAsia="zh-CN" w:bidi="ar-SA"/>
              </w:rPr>
              <w:t>王佳昕</w:t>
            </w:r>
          </w:p>
        </w:tc>
        <w:tc>
          <w:tcPr>
            <w:tcW w:w="1861" w:type="dxa"/>
            <w:shd w:val="clear" w:color="auto" w:fill="auto"/>
            <w:noWrap w:val="0"/>
            <w:vAlign w:val="center"/>
          </w:tcPr>
          <w:p w14:paraId="3817922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主管药师</w:t>
            </w:r>
          </w:p>
        </w:tc>
        <w:tc>
          <w:tcPr>
            <w:tcW w:w="2564" w:type="dxa"/>
            <w:shd w:val="clear" w:color="auto" w:fill="auto"/>
            <w:noWrap w:val="0"/>
            <w:vAlign w:val="center"/>
          </w:tcPr>
          <w:p w14:paraId="32223320">
            <w:pPr>
              <w:jc w:val="center"/>
              <w:rPr>
                <w:rFonts w:hint="default" w:cs="Times New Roman"/>
                <w:kern w:val="2"/>
                <w:sz w:val="28"/>
                <w:szCs w:val="28"/>
                <w:lang w:val="en-US" w:eastAsia="zh-CN" w:bidi="ar-SA"/>
              </w:rPr>
            </w:pPr>
            <w:r>
              <w:rPr>
                <w:rFonts w:hint="eastAsia" w:cs="Times New Roman"/>
                <w:kern w:val="2"/>
                <w:sz w:val="28"/>
                <w:szCs w:val="28"/>
                <w:lang w:val="en-US" w:eastAsia="zh-CN" w:bidi="ar-SA"/>
              </w:rPr>
              <w:t>食品安全与工程</w:t>
            </w:r>
          </w:p>
        </w:tc>
        <w:tc>
          <w:tcPr>
            <w:tcW w:w="2801" w:type="dxa"/>
            <w:shd w:val="clear" w:color="auto" w:fill="auto"/>
            <w:noWrap w:val="0"/>
            <w:vAlign w:val="center"/>
          </w:tcPr>
          <w:p w14:paraId="5FE010F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广西-东盟食品检验检测中心</w:t>
            </w:r>
          </w:p>
        </w:tc>
      </w:tr>
      <w:tr w14:paraId="0A51E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0250221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2E56E8F3">
            <w:pPr>
              <w:jc w:val="center"/>
              <w:rPr>
                <w:rFonts w:hint="eastAsia" w:cs="Times New Roman"/>
                <w:kern w:val="2"/>
                <w:sz w:val="28"/>
                <w:szCs w:val="28"/>
                <w:lang w:val="en-US" w:eastAsia="zh-CN" w:bidi="ar-SA"/>
              </w:rPr>
            </w:pPr>
            <w:r>
              <w:rPr>
                <w:rFonts w:hint="eastAsia" w:eastAsia="仿宋_GB2312"/>
                <w:sz w:val="28"/>
                <w:szCs w:val="28"/>
                <w:lang w:val="en-US" w:eastAsia="zh-CN"/>
              </w:rPr>
              <w:t>蓝金宣</w:t>
            </w:r>
          </w:p>
        </w:tc>
        <w:tc>
          <w:tcPr>
            <w:tcW w:w="1861" w:type="dxa"/>
            <w:shd w:val="clear" w:color="auto" w:fill="auto"/>
            <w:noWrap w:val="0"/>
            <w:vAlign w:val="center"/>
          </w:tcPr>
          <w:p w14:paraId="5DD5BC5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仿宋_GB2312" w:cs="Times New Roman"/>
                <w:kern w:val="2"/>
                <w:sz w:val="28"/>
                <w:szCs w:val="28"/>
                <w:lang w:val="en-US" w:eastAsia="zh-CN" w:bidi="ar-SA"/>
              </w:rPr>
            </w:pPr>
            <w:r>
              <w:rPr>
                <w:rFonts w:hint="eastAsia" w:eastAsia="仿宋_GB2312"/>
                <w:sz w:val="28"/>
                <w:szCs w:val="28"/>
              </w:rPr>
              <w:t>高级工程师</w:t>
            </w:r>
          </w:p>
        </w:tc>
        <w:tc>
          <w:tcPr>
            <w:tcW w:w="2564" w:type="dxa"/>
            <w:shd w:val="clear" w:color="auto" w:fill="auto"/>
            <w:noWrap w:val="0"/>
            <w:vAlign w:val="center"/>
          </w:tcPr>
          <w:p w14:paraId="30B40A8F">
            <w:pPr>
              <w:jc w:val="center"/>
              <w:rPr>
                <w:rFonts w:hint="default" w:cs="Times New Roman"/>
                <w:kern w:val="2"/>
                <w:sz w:val="28"/>
                <w:szCs w:val="28"/>
                <w:lang w:val="en-US" w:eastAsia="zh-CN" w:bidi="ar-SA"/>
              </w:rPr>
            </w:pPr>
            <w:r>
              <w:rPr>
                <w:rFonts w:hint="eastAsia" w:cs="Times New Roman"/>
                <w:kern w:val="2"/>
                <w:sz w:val="28"/>
                <w:szCs w:val="28"/>
                <w:lang w:val="en-US" w:eastAsia="zh-CN" w:bidi="ar-SA"/>
              </w:rPr>
              <w:t>经济林</w:t>
            </w:r>
          </w:p>
        </w:tc>
        <w:tc>
          <w:tcPr>
            <w:tcW w:w="2801" w:type="dxa"/>
            <w:shd w:val="clear" w:color="auto" w:fill="auto"/>
            <w:noWrap w:val="0"/>
            <w:vAlign w:val="center"/>
          </w:tcPr>
          <w:p w14:paraId="6B318EB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广西壮族自治区林业科学研究院</w:t>
            </w:r>
          </w:p>
        </w:tc>
      </w:tr>
      <w:tr w14:paraId="003DC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7C39506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724BA5A1">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曾祥艳</w:t>
            </w:r>
          </w:p>
        </w:tc>
        <w:tc>
          <w:tcPr>
            <w:tcW w:w="1861" w:type="dxa"/>
            <w:shd w:val="clear" w:color="auto" w:fill="auto"/>
            <w:noWrap w:val="0"/>
            <w:vAlign w:val="center"/>
          </w:tcPr>
          <w:p w14:paraId="125827E8">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高级工程师</w:t>
            </w:r>
          </w:p>
        </w:tc>
        <w:tc>
          <w:tcPr>
            <w:tcW w:w="2564" w:type="dxa"/>
            <w:shd w:val="clear" w:color="auto" w:fill="auto"/>
            <w:noWrap w:val="0"/>
            <w:vAlign w:val="center"/>
          </w:tcPr>
          <w:p w14:paraId="3BD28B53">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经济林</w:t>
            </w:r>
          </w:p>
        </w:tc>
        <w:tc>
          <w:tcPr>
            <w:tcW w:w="2801" w:type="dxa"/>
            <w:shd w:val="clear" w:color="auto" w:fill="auto"/>
            <w:noWrap w:val="0"/>
            <w:vAlign w:val="center"/>
          </w:tcPr>
          <w:p w14:paraId="309A47A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广西壮族自治区林业科学研究院</w:t>
            </w:r>
          </w:p>
        </w:tc>
      </w:tr>
      <w:tr w14:paraId="31526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4AD1B17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6413DE76">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李开祥</w:t>
            </w:r>
          </w:p>
        </w:tc>
        <w:tc>
          <w:tcPr>
            <w:tcW w:w="1861" w:type="dxa"/>
            <w:shd w:val="clear" w:color="auto" w:fill="auto"/>
            <w:noWrap w:val="0"/>
            <w:vAlign w:val="center"/>
          </w:tcPr>
          <w:p w14:paraId="5AB8922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Calibri" w:hAnsi="Calibri" w:eastAsia="仿宋_GB2312" w:cs="Times New Roman"/>
                <w:kern w:val="2"/>
                <w:sz w:val="28"/>
                <w:szCs w:val="28"/>
                <w:lang w:val="en-US" w:eastAsia="zh-CN" w:bidi="ar-SA"/>
              </w:rPr>
            </w:pPr>
            <w:r>
              <w:rPr>
                <w:rFonts w:hint="eastAsia" w:eastAsia="仿宋_GB2312"/>
                <w:sz w:val="28"/>
                <w:szCs w:val="28"/>
              </w:rPr>
              <w:t>教授级高级工程师</w:t>
            </w:r>
          </w:p>
        </w:tc>
        <w:tc>
          <w:tcPr>
            <w:tcW w:w="2564" w:type="dxa"/>
            <w:shd w:val="clear" w:color="auto" w:fill="auto"/>
            <w:noWrap w:val="0"/>
            <w:vAlign w:val="center"/>
          </w:tcPr>
          <w:p w14:paraId="5F25966F">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经济林</w:t>
            </w:r>
          </w:p>
        </w:tc>
        <w:tc>
          <w:tcPr>
            <w:tcW w:w="2801" w:type="dxa"/>
            <w:shd w:val="clear" w:color="auto" w:fill="auto"/>
            <w:noWrap w:val="0"/>
            <w:vAlign w:val="center"/>
          </w:tcPr>
          <w:p w14:paraId="50BD0D4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广西壮族自治区林业科学研究院</w:t>
            </w:r>
          </w:p>
        </w:tc>
      </w:tr>
      <w:tr w14:paraId="45E6D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536EAF9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57F479BC">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柴玲</w:t>
            </w:r>
          </w:p>
        </w:tc>
        <w:tc>
          <w:tcPr>
            <w:tcW w:w="1861" w:type="dxa"/>
            <w:shd w:val="clear" w:color="auto" w:fill="auto"/>
            <w:noWrap w:val="0"/>
            <w:vAlign w:val="center"/>
          </w:tcPr>
          <w:p w14:paraId="01D756FB">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副研究员</w:t>
            </w:r>
          </w:p>
        </w:tc>
        <w:tc>
          <w:tcPr>
            <w:tcW w:w="2564" w:type="dxa"/>
            <w:shd w:val="clear" w:color="auto" w:fill="auto"/>
            <w:noWrap w:val="0"/>
            <w:vAlign w:val="center"/>
          </w:tcPr>
          <w:p w14:paraId="45CAE39E">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中药学</w:t>
            </w:r>
          </w:p>
        </w:tc>
        <w:tc>
          <w:tcPr>
            <w:tcW w:w="2801" w:type="dxa"/>
            <w:shd w:val="clear" w:color="auto" w:fill="auto"/>
            <w:noWrap w:val="0"/>
            <w:vAlign w:val="center"/>
          </w:tcPr>
          <w:p w14:paraId="3242869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rPr>
              <w:t>广西中药质量标准研究重点实验室</w:t>
            </w:r>
          </w:p>
        </w:tc>
      </w:tr>
      <w:tr w14:paraId="3C756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7119A69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0DAE77C3">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刘布鸣</w:t>
            </w:r>
          </w:p>
        </w:tc>
        <w:tc>
          <w:tcPr>
            <w:tcW w:w="1861" w:type="dxa"/>
            <w:shd w:val="clear" w:color="auto" w:fill="auto"/>
            <w:noWrap w:val="0"/>
            <w:vAlign w:val="center"/>
          </w:tcPr>
          <w:p w14:paraId="47B7A286">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研究员</w:t>
            </w:r>
          </w:p>
        </w:tc>
        <w:tc>
          <w:tcPr>
            <w:tcW w:w="2564" w:type="dxa"/>
            <w:shd w:val="clear" w:color="auto" w:fill="auto"/>
            <w:noWrap w:val="0"/>
            <w:vAlign w:val="center"/>
          </w:tcPr>
          <w:p w14:paraId="466D7251">
            <w:pPr>
              <w:jc w:val="center"/>
              <w:rPr>
                <w:rFonts w:hint="default" w:ascii="Calibri" w:hAnsi="Calibri" w:eastAsia="仿宋_GB2312" w:cs="Times New Roman"/>
                <w:kern w:val="2"/>
                <w:sz w:val="28"/>
                <w:szCs w:val="28"/>
                <w:lang w:val="en-US" w:eastAsia="zh-CN" w:bidi="ar-SA"/>
              </w:rPr>
            </w:pPr>
            <w:r>
              <w:rPr>
                <w:rFonts w:hint="eastAsia" w:eastAsia="仿宋_GB2312"/>
                <w:sz w:val="28"/>
                <w:szCs w:val="28"/>
              </w:rPr>
              <w:t>中药质量标准研究</w:t>
            </w:r>
          </w:p>
        </w:tc>
        <w:tc>
          <w:tcPr>
            <w:tcW w:w="2801" w:type="dxa"/>
            <w:shd w:val="clear" w:color="auto" w:fill="auto"/>
            <w:noWrap w:val="0"/>
            <w:vAlign w:val="center"/>
          </w:tcPr>
          <w:p w14:paraId="46872C0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rPr>
              <w:t>广西中药质量标准研究重点实验室</w:t>
            </w:r>
          </w:p>
        </w:tc>
      </w:tr>
      <w:tr w14:paraId="73BC2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0060C54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57E19789">
            <w:pPr>
              <w:jc w:val="center"/>
              <w:rPr>
                <w:rFonts w:hint="eastAsia" w:ascii="Calibri" w:hAnsi="Calibri" w:eastAsia="仿宋_GB2312" w:cs="Times New Roman"/>
                <w:kern w:val="2"/>
                <w:sz w:val="28"/>
                <w:szCs w:val="28"/>
                <w:lang w:val="en-US" w:eastAsia="zh-CN" w:bidi="ar-SA"/>
              </w:rPr>
            </w:pPr>
            <w:r>
              <w:rPr>
                <w:rFonts w:hint="eastAsia" w:eastAsia="仿宋_GB2312"/>
                <w:sz w:val="28"/>
                <w:szCs w:val="28"/>
              </w:rPr>
              <w:t>卢宝鹏</w:t>
            </w:r>
          </w:p>
        </w:tc>
        <w:tc>
          <w:tcPr>
            <w:tcW w:w="1861" w:type="dxa"/>
            <w:shd w:val="clear" w:color="auto" w:fill="auto"/>
            <w:noWrap w:val="0"/>
            <w:vAlign w:val="center"/>
          </w:tcPr>
          <w:p w14:paraId="01F116B1">
            <w:pPr>
              <w:jc w:val="center"/>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sz w:val="28"/>
                <w:szCs w:val="28"/>
              </w:rPr>
              <w:t>高级工程师</w:t>
            </w:r>
          </w:p>
        </w:tc>
        <w:tc>
          <w:tcPr>
            <w:tcW w:w="2564" w:type="dxa"/>
            <w:shd w:val="clear" w:color="auto" w:fill="auto"/>
            <w:noWrap w:val="0"/>
            <w:vAlign w:val="center"/>
          </w:tcPr>
          <w:p w14:paraId="7F420497">
            <w:pPr>
              <w:jc w:val="center"/>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sz w:val="28"/>
                <w:szCs w:val="28"/>
              </w:rPr>
              <w:t>企业管理</w:t>
            </w:r>
          </w:p>
        </w:tc>
        <w:tc>
          <w:tcPr>
            <w:tcW w:w="2801" w:type="dxa"/>
            <w:shd w:val="clear" w:color="auto" w:fill="auto"/>
            <w:noWrap w:val="0"/>
            <w:vAlign w:val="center"/>
          </w:tcPr>
          <w:p w14:paraId="6ABCB38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sz w:val="28"/>
                <w:szCs w:val="28"/>
              </w:rPr>
              <w:t>广西自贸区陇桂投资集团有限公司</w:t>
            </w:r>
          </w:p>
        </w:tc>
      </w:tr>
      <w:tr w14:paraId="37E30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132EC4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5174E365">
            <w:pPr>
              <w:jc w:val="center"/>
              <w:rPr>
                <w:rFonts w:hint="default" w:cs="Times New Roman"/>
                <w:kern w:val="2"/>
                <w:sz w:val="28"/>
                <w:szCs w:val="28"/>
                <w:lang w:val="en-US" w:eastAsia="zh-CN" w:bidi="ar-SA"/>
              </w:rPr>
            </w:pPr>
            <w:r>
              <w:rPr>
                <w:rFonts w:hint="eastAsia" w:cs="Times New Roman"/>
                <w:kern w:val="2"/>
                <w:sz w:val="28"/>
                <w:szCs w:val="28"/>
                <w:lang w:val="en-US" w:eastAsia="zh-CN" w:bidi="ar-SA"/>
              </w:rPr>
              <w:t>赵海鹄</w:t>
            </w:r>
          </w:p>
        </w:tc>
        <w:tc>
          <w:tcPr>
            <w:tcW w:w="1861" w:type="dxa"/>
            <w:shd w:val="clear" w:color="auto" w:fill="auto"/>
            <w:noWrap w:val="0"/>
            <w:vAlign w:val="center"/>
          </w:tcPr>
          <w:p w14:paraId="7997F936">
            <w:pPr>
              <w:jc w:val="center"/>
              <w:rPr>
                <w:rFonts w:hint="default" w:ascii="Times New Roman" w:hAnsi="Times New Roman" w:eastAsia="仿宋_GB2312" w:cs="Times New Roman"/>
                <w:kern w:val="2"/>
                <w:sz w:val="28"/>
                <w:szCs w:val="28"/>
                <w:lang w:val="en-US" w:eastAsia="zh-CN" w:bidi="ar-SA"/>
              </w:rPr>
            </w:pPr>
            <w:r>
              <w:rPr>
                <w:rFonts w:hint="eastAsia" w:ascii="Times New Roman" w:hAnsi="Times New Roman" w:eastAsia="仿宋_GB2312"/>
                <w:sz w:val="28"/>
                <w:szCs w:val="28"/>
              </w:rPr>
              <w:t>高级工程师</w:t>
            </w:r>
          </w:p>
        </w:tc>
        <w:tc>
          <w:tcPr>
            <w:tcW w:w="2564" w:type="dxa"/>
            <w:shd w:val="clear" w:color="auto" w:fill="auto"/>
            <w:noWrap w:val="0"/>
            <w:vAlign w:val="center"/>
          </w:tcPr>
          <w:p w14:paraId="1347CF2C">
            <w:pPr>
              <w:jc w:val="center"/>
              <w:rPr>
                <w:rFonts w:hint="default" w:ascii="Times New Roman" w:hAnsi="Times New Roman" w:eastAsia="仿宋_GB2312" w:cs="Times New Roman"/>
                <w:kern w:val="2"/>
                <w:sz w:val="28"/>
                <w:szCs w:val="28"/>
                <w:lang w:val="en-US" w:eastAsia="zh-CN" w:bidi="ar-SA"/>
              </w:rPr>
            </w:pPr>
            <w:r>
              <w:rPr>
                <w:rFonts w:hint="eastAsia" w:ascii="Times New Roman" w:hAnsi="Times New Roman" w:cs="Times New Roman"/>
                <w:kern w:val="2"/>
                <w:sz w:val="28"/>
                <w:szCs w:val="28"/>
                <w:lang w:val="en-US" w:eastAsia="zh-CN" w:bidi="ar-SA"/>
              </w:rPr>
              <w:t>林学</w:t>
            </w:r>
          </w:p>
        </w:tc>
        <w:tc>
          <w:tcPr>
            <w:tcW w:w="2801" w:type="dxa"/>
            <w:shd w:val="clear" w:color="auto" w:fill="auto"/>
            <w:noWrap w:val="0"/>
            <w:vAlign w:val="center"/>
          </w:tcPr>
          <w:p w14:paraId="314DE73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rPr>
              <w:t>广西壮族自治区林业科学研究院</w:t>
            </w:r>
          </w:p>
        </w:tc>
      </w:tr>
      <w:tr w14:paraId="23950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70B4308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488AA48C">
            <w:pPr>
              <w:jc w:val="center"/>
              <w:rPr>
                <w:rFonts w:hint="default" w:cs="Times New Roman"/>
                <w:kern w:val="2"/>
                <w:sz w:val="28"/>
                <w:szCs w:val="28"/>
                <w:lang w:val="en-US" w:eastAsia="zh-CN" w:bidi="ar-SA"/>
              </w:rPr>
            </w:pPr>
            <w:r>
              <w:rPr>
                <w:rFonts w:hint="eastAsia" w:cs="Times New Roman"/>
                <w:kern w:val="2"/>
                <w:sz w:val="28"/>
                <w:szCs w:val="28"/>
                <w:lang w:val="en-US" w:eastAsia="zh-CN" w:bidi="ar-SA"/>
              </w:rPr>
              <w:t>蒋志林</w:t>
            </w:r>
          </w:p>
        </w:tc>
        <w:tc>
          <w:tcPr>
            <w:tcW w:w="1861" w:type="dxa"/>
            <w:shd w:val="clear" w:color="auto" w:fill="auto"/>
            <w:noWrap w:val="0"/>
            <w:vAlign w:val="center"/>
          </w:tcPr>
          <w:p w14:paraId="02B6D1AD">
            <w:pPr>
              <w:jc w:val="center"/>
              <w:rPr>
                <w:rFonts w:hint="default" w:ascii="Times New Roman" w:hAnsi="Times New Roman" w:eastAsia="仿宋_GB2312" w:cs="Times New Roman"/>
                <w:kern w:val="2"/>
                <w:sz w:val="28"/>
                <w:szCs w:val="28"/>
                <w:lang w:val="en-US" w:eastAsia="zh-CN" w:bidi="ar-SA"/>
              </w:rPr>
            </w:pPr>
            <w:r>
              <w:rPr>
                <w:rFonts w:hint="eastAsia" w:ascii="Times New Roman" w:hAnsi="Times New Roman" w:cs="Times New Roman"/>
                <w:kern w:val="2"/>
                <w:sz w:val="28"/>
                <w:szCs w:val="28"/>
                <w:lang w:val="en-US" w:eastAsia="zh-CN" w:bidi="ar-SA"/>
              </w:rPr>
              <w:t>助理工程师</w:t>
            </w:r>
          </w:p>
        </w:tc>
        <w:tc>
          <w:tcPr>
            <w:tcW w:w="2564" w:type="dxa"/>
            <w:shd w:val="clear" w:color="auto" w:fill="auto"/>
            <w:noWrap w:val="0"/>
            <w:vAlign w:val="center"/>
          </w:tcPr>
          <w:p w14:paraId="432B2ADE">
            <w:pPr>
              <w:jc w:val="center"/>
              <w:rPr>
                <w:rFonts w:hint="default" w:ascii="Times New Roman" w:hAnsi="Times New Roman" w:eastAsia="仿宋_GB2312" w:cs="Times New Roman"/>
                <w:kern w:val="2"/>
                <w:sz w:val="28"/>
                <w:szCs w:val="28"/>
                <w:lang w:val="en-US" w:eastAsia="zh-CN" w:bidi="ar-SA"/>
              </w:rPr>
            </w:pPr>
            <w:r>
              <w:rPr>
                <w:rFonts w:hint="eastAsia" w:ascii="Times New Roman" w:hAnsi="Times New Roman" w:cs="Times New Roman"/>
                <w:kern w:val="2"/>
                <w:sz w:val="28"/>
                <w:szCs w:val="28"/>
                <w:lang w:val="en-US" w:eastAsia="zh-CN" w:bidi="ar-SA"/>
              </w:rPr>
              <w:t>分析化学</w:t>
            </w:r>
          </w:p>
        </w:tc>
        <w:tc>
          <w:tcPr>
            <w:tcW w:w="2801" w:type="dxa"/>
            <w:shd w:val="clear" w:color="auto" w:fill="auto"/>
            <w:noWrap w:val="0"/>
            <w:vAlign w:val="center"/>
          </w:tcPr>
          <w:p w14:paraId="2AA3E29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sz w:val="28"/>
                <w:szCs w:val="28"/>
              </w:rPr>
              <w:t>广西壮族自治区林业科学研究院</w:t>
            </w:r>
          </w:p>
        </w:tc>
      </w:tr>
      <w:tr w14:paraId="318DD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2C8B365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01F9932A">
            <w:pPr>
              <w:jc w:val="center"/>
              <w:rPr>
                <w:rFonts w:hint="default" w:cs="Times New Roman"/>
                <w:kern w:val="2"/>
                <w:sz w:val="28"/>
                <w:szCs w:val="28"/>
                <w:lang w:val="en-US" w:eastAsia="zh-CN" w:bidi="ar-SA"/>
              </w:rPr>
            </w:pPr>
            <w:r>
              <w:rPr>
                <w:rFonts w:hint="eastAsia" w:cs="Times New Roman"/>
                <w:kern w:val="2"/>
                <w:sz w:val="28"/>
                <w:szCs w:val="28"/>
                <w:lang w:val="en-US" w:eastAsia="zh-CN" w:bidi="ar-SA"/>
              </w:rPr>
              <w:t>肖喜银</w:t>
            </w:r>
          </w:p>
        </w:tc>
        <w:tc>
          <w:tcPr>
            <w:tcW w:w="1861" w:type="dxa"/>
            <w:shd w:val="clear" w:color="auto" w:fill="auto"/>
            <w:noWrap w:val="0"/>
            <w:vAlign w:val="center"/>
          </w:tcPr>
          <w:p w14:paraId="55CFEE9E">
            <w:pPr>
              <w:jc w:val="center"/>
              <w:rPr>
                <w:rFonts w:hint="default" w:ascii="Times New Roman" w:hAnsi="Times New Roman" w:cs="Times New Roman"/>
                <w:kern w:val="2"/>
                <w:sz w:val="28"/>
                <w:szCs w:val="28"/>
                <w:lang w:val="en-US" w:eastAsia="zh-CN" w:bidi="ar-SA"/>
              </w:rPr>
            </w:pPr>
            <w:r>
              <w:rPr>
                <w:rFonts w:hint="eastAsia" w:ascii="Times New Roman" w:hAnsi="Times New Roman" w:cs="Times New Roman"/>
                <w:kern w:val="2"/>
                <w:sz w:val="28"/>
                <w:szCs w:val="28"/>
                <w:lang w:val="en-US" w:eastAsia="zh-CN" w:bidi="ar-SA"/>
              </w:rPr>
              <w:t>高级工程师</w:t>
            </w:r>
          </w:p>
        </w:tc>
        <w:tc>
          <w:tcPr>
            <w:tcW w:w="2564" w:type="dxa"/>
            <w:shd w:val="clear" w:color="auto" w:fill="auto"/>
            <w:noWrap w:val="0"/>
            <w:vAlign w:val="center"/>
          </w:tcPr>
          <w:p w14:paraId="028487A1">
            <w:pPr>
              <w:jc w:val="center"/>
              <w:rPr>
                <w:rFonts w:hint="default" w:ascii="Times New Roman" w:hAnsi="Times New Roman" w:cs="Times New Roman"/>
                <w:kern w:val="2"/>
                <w:sz w:val="28"/>
                <w:szCs w:val="28"/>
                <w:lang w:val="en-US" w:eastAsia="zh-CN" w:bidi="ar-SA"/>
              </w:rPr>
            </w:pPr>
            <w:r>
              <w:rPr>
                <w:rFonts w:hint="eastAsia" w:ascii="Times New Roman" w:hAnsi="Times New Roman" w:cs="Times New Roman"/>
                <w:kern w:val="2"/>
                <w:sz w:val="28"/>
                <w:szCs w:val="28"/>
                <w:lang w:val="en-US" w:eastAsia="zh-CN" w:bidi="ar-SA"/>
              </w:rPr>
              <w:t>食品生产</w:t>
            </w:r>
          </w:p>
        </w:tc>
        <w:tc>
          <w:tcPr>
            <w:tcW w:w="2801" w:type="dxa"/>
            <w:shd w:val="clear" w:color="auto" w:fill="auto"/>
            <w:noWrap w:val="0"/>
            <w:vAlign w:val="center"/>
          </w:tcPr>
          <w:p w14:paraId="7005147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广西农垦茶业集团有限公司</w:t>
            </w:r>
          </w:p>
        </w:tc>
      </w:tr>
      <w:tr w14:paraId="3EA0C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5845C24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0DCDD579">
            <w:pPr>
              <w:jc w:val="center"/>
              <w:rPr>
                <w:rFonts w:hint="eastAsia"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梁忠茂</w:t>
            </w:r>
          </w:p>
        </w:tc>
        <w:tc>
          <w:tcPr>
            <w:tcW w:w="1861" w:type="dxa"/>
            <w:shd w:val="clear" w:color="auto" w:fill="auto"/>
            <w:noWrap w:val="0"/>
            <w:vAlign w:val="center"/>
          </w:tcPr>
          <w:p w14:paraId="05D4A64A">
            <w:pPr>
              <w:jc w:val="center"/>
              <w:rPr>
                <w:rFonts w:hint="eastAsia"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工程师</w:t>
            </w:r>
          </w:p>
        </w:tc>
        <w:tc>
          <w:tcPr>
            <w:tcW w:w="2564" w:type="dxa"/>
            <w:shd w:val="clear" w:color="auto" w:fill="auto"/>
            <w:noWrap w:val="0"/>
            <w:vAlign w:val="center"/>
          </w:tcPr>
          <w:p w14:paraId="0B425AD2">
            <w:pPr>
              <w:jc w:val="center"/>
              <w:rPr>
                <w:rFonts w:hint="eastAsia"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食品工业</w:t>
            </w:r>
          </w:p>
        </w:tc>
        <w:tc>
          <w:tcPr>
            <w:tcW w:w="2801" w:type="dxa"/>
            <w:shd w:val="clear" w:color="auto" w:fill="auto"/>
            <w:noWrap w:val="0"/>
            <w:vAlign w:val="center"/>
          </w:tcPr>
          <w:p w14:paraId="6763A68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sz w:val="28"/>
                <w:szCs w:val="28"/>
              </w:rPr>
              <w:t>广西靖西梁鹏食品有限公司</w:t>
            </w:r>
          </w:p>
        </w:tc>
      </w:tr>
      <w:tr w14:paraId="11633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2453587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67C54D5E">
            <w:pPr>
              <w:jc w:val="center"/>
              <w:rPr>
                <w:rFonts w:hint="eastAsia" w:cs="Times New Roman"/>
                <w:kern w:val="2"/>
                <w:sz w:val="28"/>
                <w:szCs w:val="28"/>
                <w:lang w:val="en-US" w:eastAsia="zh-CN" w:bidi="ar-SA"/>
              </w:rPr>
            </w:pPr>
            <w:r>
              <w:rPr>
                <w:rFonts w:hint="eastAsia" w:cs="Times New Roman"/>
                <w:kern w:val="2"/>
                <w:sz w:val="28"/>
                <w:szCs w:val="28"/>
                <w:lang w:val="en-US" w:eastAsia="zh-CN" w:bidi="ar-SA"/>
              </w:rPr>
              <w:t>张翅飞</w:t>
            </w:r>
          </w:p>
        </w:tc>
        <w:tc>
          <w:tcPr>
            <w:tcW w:w="1861" w:type="dxa"/>
            <w:shd w:val="clear" w:color="auto" w:fill="auto"/>
            <w:noWrap w:val="0"/>
            <w:vAlign w:val="center"/>
          </w:tcPr>
          <w:p w14:paraId="44074874">
            <w:pPr>
              <w:jc w:val="center"/>
              <w:rPr>
                <w:rFonts w:hint="eastAsia" w:ascii="Times New Roman" w:hAnsi="Times New Roman" w:cs="Times New Roman"/>
                <w:kern w:val="2"/>
                <w:sz w:val="28"/>
                <w:szCs w:val="28"/>
                <w:lang w:val="en-US" w:eastAsia="zh-CN" w:bidi="ar-SA"/>
              </w:rPr>
            </w:pPr>
            <w:r>
              <w:rPr>
                <w:rFonts w:hint="eastAsia" w:cs="Times New Roman"/>
                <w:kern w:val="2"/>
                <w:sz w:val="28"/>
                <w:szCs w:val="28"/>
                <w:lang w:val="en-US" w:eastAsia="zh-CN" w:bidi="ar-SA"/>
              </w:rPr>
              <w:t>工程师</w:t>
            </w:r>
          </w:p>
        </w:tc>
        <w:tc>
          <w:tcPr>
            <w:tcW w:w="2564" w:type="dxa"/>
            <w:shd w:val="clear" w:color="auto" w:fill="auto"/>
            <w:noWrap w:val="0"/>
            <w:vAlign w:val="center"/>
          </w:tcPr>
          <w:p w14:paraId="5427D818">
            <w:pPr>
              <w:jc w:val="center"/>
              <w:rPr>
                <w:rFonts w:hint="eastAsia" w:ascii="Times New Roman" w:hAnsi="Times New Roman" w:cs="Times New Roman"/>
                <w:kern w:val="2"/>
                <w:sz w:val="28"/>
                <w:szCs w:val="28"/>
                <w:lang w:val="en-US" w:eastAsia="zh-CN" w:bidi="ar-SA"/>
              </w:rPr>
            </w:pPr>
            <w:r>
              <w:rPr>
                <w:rFonts w:hint="eastAsia" w:cs="Times New Roman"/>
                <w:kern w:val="2"/>
                <w:sz w:val="28"/>
                <w:szCs w:val="28"/>
                <w:lang w:val="en-US" w:eastAsia="zh-CN" w:bidi="ar-SA"/>
              </w:rPr>
              <w:t>食品工业</w:t>
            </w:r>
          </w:p>
        </w:tc>
        <w:tc>
          <w:tcPr>
            <w:tcW w:w="2801" w:type="dxa"/>
            <w:shd w:val="clear" w:color="auto" w:fill="auto"/>
            <w:noWrap w:val="0"/>
            <w:vAlign w:val="center"/>
          </w:tcPr>
          <w:p w14:paraId="5164FF8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广西贺州市芬芳果蔬食品有限公司</w:t>
            </w:r>
          </w:p>
        </w:tc>
      </w:tr>
      <w:tr w14:paraId="28A39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27F4A37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25CE7079">
            <w:pPr>
              <w:jc w:val="center"/>
              <w:rPr>
                <w:rFonts w:hint="eastAsia" w:cs="Times New Roman"/>
                <w:kern w:val="2"/>
                <w:sz w:val="28"/>
                <w:szCs w:val="28"/>
                <w:lang w:val="en-US" w:eastAsia="zh-CN" w:bidi="ar-SA"/>
              </w:rPr>
            </w:pPr>
            <w:r>
              <w:rPr>
                <w:rFonts w:hint="eastAsia" w:cs="Times New Roman"/>
                <w:kern w:val="2"/>
                <w:sz w:val="28"/>
                <w:szCs w:val="28"/>
                <w:lang w:val="en-US" w:eastAsia="zh-CN" w:bidi="ar-SA"/>
              </w:rPr>
              <w:t>黄进安</w:t>
            </w:r>
          </w:p>
        </w:tc>
        <w:tc>
          <w:tcPr>
            <w:tcW w:w="1861" w:type="dxa"/>
            <w:shd w:val="clear" w:color="auto" w:fill="auto"/>
            <w:noWrap w:val="0"/>
            <w:vAlign w:val="center"/>
          </w:tcPr>
          <w:p w14:paraId="0F1BA9D4">
            <w:pPr>
              <w:jc w:val="center"/>
              <w:rPr>
                <w:rFonts w:hint="eastAsia" w:ascii="Times New Roman" w:hAnsi="Times New Roman" w:cs="Times New Roman"/>
                <w:kern w:val="2"/>
                <w:sz w:val="28"/>
                <w:szCs w:val="28"/>
                <w:lang w:val="en-US" w:eastAsia="zh-CN" w:bidi="ar-SA"/>
              </w:rPr>
            </w:pPr>
            <w:r>
              <w:rPr>
                <w:rFonts w:hint="eastAsia" w:cs="Times New Roman"/>
                <w:kern w:val="2"/>
                <w:sz w:val="28"/>
                <w:szCs w:val="28"/>
                <w:lang w:val="en-US" w:eastAsia="zh-CN" w:bidi="ar-SA"/>
              </w:rPr>
              <w:t>工程师</w:t>
            </w:r>
          </w:p>
        </w:tc>
        <w:tc>
          <w:tcPr>
            <w:tcW w:w="2564" w:type="dxa"/>
            <w:shd w:val="clear" w:color="auto" w:fill="auto"/>
            <w:noWrap w:val="0"/>
            <w:vAlign w:val="center"/>
          </w:tcPr>
          <w:p w14:paraId="62284EF1">
            <w:pPr>
              <w:jc w:val="center"/>
              <w:rPr>
                <w:rFonts w:hint="eastAsia" w:ascii="Times New Roman" w:hAnsi="Times New Roman" w:cs="Times New Roman"/>
                <w:kern w:val="2"/>
                <w:sz w:val="28"/>
                <w:szCs w:val="28"/>
                <w:lang w:val="en-US" w:eastAsia="zh-CN" w:bidi="ar-SA"/>
              </w:rPr>
            </w:pPr>
            <w:r>
              <w:rPr>
                <w:rFonts w:hint="eastAsia" w:cs="Times New Roman"/>
                <w:kern w:val="2"/>
                <w:sz w:val="28"/>
                <w:szCs w:val="28"/>
                <w:lang w:val="en-US" w:eastAsia="zh-CN" w:bidi="ar-SA"/>
              </w:rPr>
              <w:t>食品工业</w:t>
            </w:r>
          </w:p>
        </w:tc>
        <w:tc>
          <w:tcPr>
            <w:tcW w:w="2801" w:type="dxa"/>
            <w:shd w:val="clear" w:color="auto" w:fill="auto"/>
            <w:noWrap w:val="0"/>
            <w:vAlign w:val="center"/>
          </w:tcPr>
          <w:p w14:paraId="40F0035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德保县壮宝酒厂有限公司</w:t>
            </w:r>
          </w:p>
        </w:tc>
      </w:tr>
      <w:tr w14:paraId="3EE8D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0FF6280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682DB476">
            <w:pPr>
              <w:jc w:val="center"/>
              <w:rPr>
                <w:rFonts w:hint="default" w:cs="Times New Roman"/>
                <w:kern w:val="2"/>
                <w:sz w:val="28"/>
                <w:szCs w:val="28"/>
                <w:lang w:val="en-US" w:eastAsia="zh-CN" w:bidi="ar-SA"/>
              </w:rPr>
            </w:pPr>
            <w:r>
              <w:rPr>
                <w:rFonts w:hint="eastAsia" w:cs="Times New Roman"/>
                <w:kern w:val="2"/>
                <w:sz w:val="28"/>
                <w:szCs w:val="28"/>
                <w:lang w:val="en-US" w:eastAsia="zh-CN" w:bidi="ar-SA"/>
              </w:rPr>
              <w:t>张菁芳</w:t>
            </w:r>
          </w:p>
        </w:tc>
        <w:tc>
          <w:tcPr>
            <w:tcW w:w="1861" w:type="dxa"/>
            <w:shd w:val="clear" w:color="auto" w:fill="auto"/>
            <w:noWrap w:val="0"/>
            <w:vAlign w:val="center"/>
          </w:tcPr>
          <w:p w14:paraId="5316EF42">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副研究员</w:t>
            </w:r>
          </w:p>
        </w:tc>
        <w:tc>
          <w:tcPr>
            <w:tcW w:w="2564" w:type="dxa"/>
            <w:shd w:val="clear" w:color="auto" w:fill="auto"/>
            <w:noWrap w:val="0"/>
            <w:vAlign w:val="center"/>
          </w:tcPr>
          <w:p w14:paraId="223B2D3C">
            <w:pPr>
              <w:jc w:val="center"/>
              <w:rPr>
                <w:rFonts w:hint="default" w:ascii="Calibri" w:hAnsi="Calibri" w:eastAsia="仿宋_GB2312" w:cs="Times New Roman"/>
                <w:kern w:val="2"/>
                <w:sz w:val="28"/>
                <w:szCs w:val="28"/>
                <w:lang w:val="en-US" w:eastAsia="zh-CN" w:bidi="ar-SA"/>
              </w:rPr>
            </w:pPr>
            <w:r>
              <w:rPr>
                <w:rFonts w:hint="eastAsia" w:cs="Times New Roman"/>
                <w:kern w:val="2"/>
                <w:sz w:val="28"/>
                <w:szCs w:val="28"/>
                <w:lang w:val="en-US" w:eastAsia="zh-CN" w:bidi="ar-SA"/>
              </w:rPr>
              <w:t>大健康管理</w:t>
            </w:r>
          </w:p>
        </w:tc>
        <w:tc>
          <w:tcPr>
            <w:tcW w:w="2801" w:type="dxa"/>
            <w:shd w:val="clear" w:color="auto" w:fill="auto"/>
            <w:noWrap w:val="0"/>
            <w:vAlign w:val="center"/>
          </w:tcPr>
          <w:p w14:paraId="782500A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广西旅发大健康产业集团有限公司</w:t>
            </w:r>
          </w:p>
        </w:tc>
      </w:tr>
    </w:tbl>
    <w:p w14:paraId="6C52D09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eastAsia="zh-CN"/>
        </w:rPr>
      </w:pPr>
    </w:p>
    <w:p w14:paraId="0F399406">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（二）收集整理文献资料</w:t>
      </w:r>
    </w:p>
    <w:p w14:paraId="18E686A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标准编制工作组收集了相关文献资料。主要有：</w:t>
      </w:r>
    </w:p>
    <w:p w14:paraId="068FC1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lang w:eastAsia="zh-CN"/>
        </w:rPr>
      </w:pPr>
      <w:r>
        <w:rPr>
          <w:rFonts w:hint="default" w:ascii="Times New Roman" w:hAnsi="Times New Roman" w:eastAsia="仿宋_GB2312" w:cs="Times New Roman"/>
        </w:rPr>
        <w:t>《中国药典》2020年版关于山楂的相关要求</w:t>
      </w:r>
    </w:p>
    <w:p w14:paraId="7383288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cs="Times New Roman"/>
          <w:sz w:val="32"/>
          <w:szCs w:val="32"/>
          <w:lang w:eastAsia="zh-CN"/>
        </w:rPr>
      </w:pPr>
      <w:r>
        <w:rPr>
          <w:rFonts w:hint="eastAsia" w:ascii="Times New Roman" w:hAnsi="Times New Roman" w:cs="Times New Roman"/>
          <w:sz w:val="32"/>
          <w:szCs w:val="32"/>
          <w:lang w:eastAsia="zh-CN"/>
        </w:rPr>
        <w:t>《</w:t>
      </w:r>
      <w:r>
        <w:rPr>
          <w:rFonts w:hint="default" w:ascii="Times New Roman" w:hAnsi="Times New Roman" w:eastAsia="仿宋_GB2312" w:cs="Times New Roman"/>
          <w:sz w:val="32"/>
          <w:szCs w:val="32"/>
        </w:rPr>
        <w:t>GB</w:t>
      </w:r>
      <w:r>
        <w:rPr>
          <w:rFonts w:hint="eastAsia" w:ascii="Times New Roman" w:hAnsi="Times New Roman" w:cs="Times New Roman"/>
          <w:sz w:val="32"/>
          <w:szCs w:val="32"/>
          <w:lang w:val="en-US" w:eastAsia="zh-CN"/>
        </w:rPr>
        <w:t xml:space="preserve"> </w:t>
      </w:r>
      <w:r>
        <w:rPr>
          <w:rFonts w:hint="default" w:ascii="Times New Roman" w:hAnsi="Times New Roman" w:eastAsia="仿宋_GB2312" w:cs="Times New Roman"/>
          <w:sz w:val="32"/>
          <w:szCs w:val="32"/>
        </w:rPr>
        <w:t>7101-2022食品安全国家标准 饮料</w:t>
      </w:r>
      <w:r>
        <w:rPr>
          <w:rFonts w:hint="eastAsia" w:ascii="Times New Roman" w:hAnsi="Times New Roman" w:cs="Times New Roman"/>
          <w:sz w:val="32"/>
          <w:szCs w:val="32"/>
          <w:lang w:eastAsia="zh-CN"/>
        </w:rPr>
        <w:t>》</w:t>
      </w:r>
    </w:p>
    <w:p w14:paraId="3172780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cs="Times New Roman"/>
          <w:sz w:val="32"/>
          <w:szCs w:val="32"/>
          <w:lang w:eastAsia="zh-CN"/>
        </w:rPr>
      </w:pPr>
      <w:r>
        <w:rPr>
          <w:rFonts w:hint="eastAsia" w:ascii="Times New Roman" w:hAnsi="Times New Roman" w:cs="Times New Roman"/>
          <w:sz w:val="32"/>
          <w:szCs w:val="32"/>
          <w:lang w:eastAsia="zh-CN"/>
        </w:rPr>
        <w:t>《</w:t>
      </w:r>
      <w:r>
        <w:rPr>
          <w:rFonts w:hint="default" w:ascii="Times New Roman" w:hAnsi="Times New Roman" w:eastAsia="仿宋_GB2312" w:cs="Times New Roman"/>
          <w:sz w:val="32"/>
          <w:szCs w:val="32"/>
        </w:rPr>
        <w:t>GB</w:t>
      </w:r>
      <w:r>
        <w:rPr>
          <w:rFonts w:hint="eastAsia" w:ascii="Times New Roman" w:hAnsi="Times New Roman" w:cs="Times New Roman"/>
          <w:sz w:val="32"/>
          <w:szCs w:val="32"/>
          <w:lang w:val="en-US" w:eastAsia="zh-CN"/>
        </w:rPr>
        <w:t>/T 21731-2008橙汁及橙汁饮料</w:t>
      </w:r>
      <w:r>
        <w:rPr>
          <w:rFonts w:hint="eastAsia" w:ascii="Times New Roman" w:hAnsi="Times New Roman" w:cs="Times New Roman"/>
          <w:sz w:val="32"/>
          <w:szCs w:val="32"/>
          <w:lang w:eastAsia="zh-CN"/>
        </w:rPr>
        <w:t>》</w:t>
      </w:r>
    </w:p>
    <w:p w14:paraId="0567BFA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cs="Times New Roman"/>
          <w:sz w:val="32"/>
          <w:szCs w:val="32"/>
          <w:lang w:eastAsia="zh-CN"/>
        </w:rPr>
      </w:pPr>
      <w:r>
        <w:rPr>
          <w:rFonts w:hint="eastAsia" w:ascii="Times New Roman" w:hAnsi="Times New Roman" w:cs="Times New Roman"/>
          <w:sz w:val="32"/>
          <w:szCs w:val="32"/>
          <w:lang w:eastAsia="zh-CN"/>
        </w:rPr>
        <w:t>《T/GXGFA 11-2024地理标志农产品 靖西大果山楂》</w:t>
      </w:r>
    </w:p>
    <w:p w14:paraId="009C2C1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cs="Times New Roman"/>
          <w:sz w:val="32"/>
          <w:szCs w:val="32"/>
          <w:lang w:eastAsia="zh-CN"/>
        </w:rPr>
      </w:pPr>
      <w:r>
        <w:rPr>
          <w:rFonts w:hint="eastAsia" w:ascii="Times New Roman" w:hAnsi="Times New Roman" w:cs="Times New Roman"/>
          <w:sz w:val="32"/>
          <w:szCs w:val="32"/>
          <w:lang w:eastAsia="zh-CN"/>
        </w:rPr>
        <w:t>《DB45/T 1634-2017大果山楂生产技术规程》</w:t>
      </w:r>
    </w:p>
    <w:p w14:paraId="655F241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cs="Times New Roman"/>
          <w:sz w:val="32"/>
          <w:szCs w:val="32"/>
          <w:lang w:eastAsia="zh-CN"/>
        </w:rPr>
      </w:pPr>
      <w:r>
        <w:rPr>
          <w:rFonts w:hint="eastAsia" w:ascii="Times New Roman" w:hAnsi="Times New Roman" w:cs="Times New Roman"/>
          <w:sz w:val="32"/>
          <w:szCs w:val="32"/>
          <w:lang w:eastAsia="zh-CN"/>
        </w:rPr>
        <w:t>《DB45/T 2598-2022大果山楂原醋生产技术规程》</w:t>
      </w:r>
    </w:p>
    <w:p w14:paraId="3340705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cs="Times New Roman"/>
          <w:sz w:val="32"/>
          <w:szCs w:val="32"/>
          <w:lang w:eastAsia="zh-CN"/>
        </w:rPr>
      </w:pPr>
      <w:r>
        <w:rPr>
          <w:rFonts w:hint="default" w:ascii="Times New Roman" w:hAnsi="Times New Roman" w:cs="Times New Roman"/>
          <w:sz w:val="32"/>
          <w:szCs w:val="32"/>
          <w:lang w:eastAsia="zh-CN"/>
        </w:rPr>
        <w:t>苏艳兰,刘功德,艾静汶.浅述大果山楂营养价值及原味果脯生产工艺[J].大众科技,2018,20(05):97-98.</w:t>
      </w:r>
    </w:p>
    <w:p w14:paraId="3BB1241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cs="Times New Roman"/>
          <w:sz w:val="32"/>
          <w:szCs w:val="32"/>
          <w:lang w:eastAsia="zh-CN"/>
        </w:rPr>
      </w:pPr>
      <w:r>
        <w:rPr>
          <w:rFonts w:hint="default" w:ascii="Times New Roman" w:hAnsi="Times New Roman" w:cs="Times New Roman"/>
          <w:sz w:val="32"/>
          <w:szCs w:val="32"/>
          <w:lang w:eastAsia="zh-CN"/>
        </w:rPr>
        <w:t>陈秋虹,黄岛平,蒋艳芳.大果山楂营养成分与功能成分分析及评价[J].轻工科技,2016,32(11):3-4.</w:t>
      </w:r>
    </w:p>
    <w:p w14:paraId="2802BCA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cs="Times New Roman"/>
          <w:sz w:val="32"/>
          <w:szCs w:val="32"/>
          <w:lang w:eastAsia="zh-CN"/>
        </w:rPr>
      </w:pPr>
      <w:r>
        <w:rPr>
          <w:rFonts w:hint="default" w:ascii="Times New Roman" w:hAnsi="Times New Roman" w:cs="Times New Roman"/>
          <w:sz w:val="32"/>
          <w:szCs w:val="32"/>
          <w:lang w:eastAsia="zh-CN"/>
        </w:rPr>
        <w:t>潘中田.中田大山楂栽培技术[J].贺州学院学报,2010,26(03):133-136.</w:t>
      </w:r>
    </w:p>
    <w:p w14:paraId="209BFB51">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val="en-US" w:eastAsia="zh-CN"/>
        </w:rPr>
        <w:t>三</w:t>
      </w:r>
      <w:r>
        <w:rPr>
          <w:rFonts w:hint="eastAsia" w:ascii="楷体_GB2312" w:hAnsi="楷体_GB2312" w:eastAsia="楷体_GB2312" w:cs="楷体_GB2312"/>
          <w:b/>
          <w:bCs/>
          <w:sz w:val="32"/>
          <w:szCs w:val="32"/>
        </w:rPr>
        <w:t>）研讨确定标准主体内容</w:t>
      </w:r>
    </w:p>
    <w:p w14:paraId="0103AA5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标准编制工作组在对收集的资料进行整理研究后召开了标准编制会议，对标准的整体框架进行了研究，并对标准的关键性问题进行了初步探讨。经过研究，标准的主体内容包括要求</w:t>
      </w:r>
      <w:r>
        <w:rPr>
          <w:rFonts w:hint="eastAsia" w:ascii="Times New Roman" w:hAnsi="Times New Roman" w:cs="Times New Roman"/>
          <w:sz w:val="32"/>
          <w:szCs w:val="32"/>
          <w:lang w:eastAsia="zh-CN"/>
        </w:rPr>
        <w:t>、生产环境、</w:t>
      </w:r>
      <w:r>
        <w:rPr>
          <w:rFonts w:hint="eastAsia"/>
        </w:rPr>
        <w:t>加工过程</w:t>
      </w:r>
      <w:r>
        <w:rPr>
          <w:rFonts w:hint="eastAsia"/>
          <w:lang w:eastAsia="zh-CN"/>
        </w:rPr>
        <w:t>、</w:t>
      </w:r>
      <w:r>
        <w:rPr>
          <w:rFonts w:hint="eastAsia"/>
        </w:rPr>
        <w:t>产品指标</w:t>
      </w:r>
      <w:r>
        <w:rPr>
          <w:rFonts w:hint="default" w:ascii="Times New Roman" w:hAnsi="Times New Roman" w:eastAsia="仿宋_GB2312" w:cs="Times New Roman"/>
          <w:sz w:val="32"/>
          <w:szCs w:val="32"/>
        </w:rPr>
        <w:t>等。</w:t>
      </w:r>
    </w:p>
    <w:p w14:paraId="04B54FCE">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val="en-US" w:eastAsia="zh-CN"/>
        </w:rPr>
        <w:t>四</w:t>
      </w:r>
      <w:r>
        <w:rPr>
          <w:rFonts w:hint="eastAsia" w:ascii="楷体_GB2312" w:hAnsi="楷体_GB2312" w:eastAsia="楷体_GB2312" w:cs="楷体_GB2312"/>
          <w:b/>
          <w:bCs/>
          <w:sz w:val="32"/>
          <w:szCs w:val="32"/>
        </w:rPr>
        <w:t>）调研、形成文本草案、征求意见稿、送审稿</w:t>
      </w:r>
    </w:p>
    <w:p w14:paraId="7B761928">
      <w:pPr>
        <w:keepNext w:val="0"/>
        <w:keepLines w:val="0"/>
        <w:pageBreakBefore w:val="0"/>
        <w:widowControl w:val="0"/>
        <w:kinsoku/>
        <w:wordWrap/>
        <w:overflowPunct/>
        <w:topLinePunct w:val="0"/>
        <w:autoSpaceDE/>
        <w:autoSpaceDN/>
        <w:bidi w:val="0"/>
        <w:adjustRightInd w:val="0"/>
        <w:snapToGrid w:val="0"/>
        <w:spacing w:line="560" w:lineRule="exact"/>
        <w:ind w:firstLine="648" w:firstLineChars="200"/>
        <w:textAlignment w:val="auto"/>
        <w:rPr>
          <w:rFonts w:hint="default" w:ascii="Times New Roman" w:hAnsi="Times New Roman" w:eastAsia="仿宋_GB2312" w:cs="Times New Roman"/>
          <w:spacing w:val="2"/>
          <w:sz w:val="32"/>
          <w:szCs w:val="32"/>
        </w:rPr>
      </w:pPr>
      <w:r>
        <w:rPr>
          <w:rFonts w:hint="default" w:ascii="Times New Roman" w:hAnsi="Times New Roman" w:eastAsia="仿宋_GB2312" w:cs="Times New Roman"/>
          <w:spacing w:val="2"/>
          <w:sz w:val="32"/>
          <w:szCs w:val="32"/>
        </w:rPr>
        <w:t>2024年</w:t>
      </w:r>
      <w:r>
        <w:rPr>
          <w:rFonts w:hint="default" w:ascii="Times New Roman" w:hAnsi="Times New Roman" w:eastAsia="仿宋_GB2312" w:cs="Times New Roman"/>
          <w:spacing w:val="2"/>
          <w:sz w:val="32"/>
          <w:szCs w:val="32"/>
          <w:lang w:val="en-US" w:eastAsia="zh-CN"/>
        </w:rPr>
        <w:t>6</w:t>
      </w:r>
      <w:r>
        <w:rPr>
          <w:rFonts w:hint="default" w:ascii="Times New Roman" w:hAnsi="Times New Roman" w:eastAsia="仿宋_GB2312" w:cs="Times New Roman"/>
          <w:spacing w:val="2"/>
          <w:sz w:val="32"/>
          <w:szCs w:val="32"/>
        </w:rPr>
        <w:t>月，标准起草工作小组进行了广泛实地调研工作，</w:t>
      </w:r>
      <w:r>
        <w:rPr>
          <w:rFonts w:hint="default" w:ascii="Times New Roman" w:hAnsi="Times New Roman" w:eastAsia="仿宋_GB2312" w:cs="Times New Roman"/>
          <w:sz w:val="32"/>
          <w:szCs w:val="32"/>
        </w:rPr>
        <w:t>深入</w:t>
      </w:r>
      <w:r>
        <w:rPr>
          <w:rFonts w:hint="eastAsia" w:ascii="Times New Roman" w:hAnsi="Times New Roman" w:cs="Times New Roman"/>
          <w:sz w:val="32"/>
          <w:szCs w:val="32"/>
          <w:lang w:val="en-US" w:eastAsia="zh-CN"/>
        </w:rPr>
        <w:t>靖西</w:t>
      </w:r>
      <w:r>
        <w:rPr>
          <w:rFonts w:hint="default" w:ascii="Times New Roman" w:hAnsi="Times New Roman" w:eastAsia="仿宋_GB2312" w:cs="Times New Roman"/>
          <w:sz w:val="32"/>
          <w:szCs w:val="32"/>
        </w:rPr>
        <w:t>、</w:t>
      </w:r>
      <w:r>
        <w:rPr>
          <w:rFonts w:hint="eastAsia" w:ascii="Times New Roman" w:hAnsi="Times New Roman" w:cs="Times New Roman"/>
          <w:sz w:val="32"/>
          <w:szCs w:val="32"/>
          <w:lang w:val="en-US" w:eastAsia="zh-CN"/>
        </w:rPr>
        <w:t>百色</w:t>
      </w:r>
      <w:r>
        <w:rPr>
          <w:rFonts w:hint="default" w:ascii="Times New Roman" w:hAnsi="Times New Roman" w:eastAsia="仿宋_GB2312" w:cs="Times New Roman"/>
          <w:sz w:val="32"/>
          <w:szCs w:val="32"/>
        </w:rPr>
        <w:t>等地调研</w:t>
      </w:r>
      <w:r>
        <w:rPr>
          <w:rFonts w:hint="eastAsia" w:ascii="Times New Roman" w:hAnsi="Times New Roman" w:cs="Times New Roman"/>
          <w:sz w:val="32"/>
          <w:szCs w:val="32"/>
          <w:lang w:val="en-US" w:eastAsia="zh-CN"/>
        </w:rPr>
        <w:t>大果山楂产品</w:t>
      </w:r>
      <w:r>
        <w:rPr>
          <w:rFonts w:hint="default" w:ascii="Times New Roman" w:hAnsi="Times New Roman" w:eastAsia="仿宋_GB2312" w:cs="Times New Roman"/>
          <w:sz w:val="32"/>
          <w:szCs w:val="32"/>
        </w:rPr>
        <w:t>生产企业，了解原料采集、</w:t>
      </w:r>
      <w:r>
        <w:rPr>
          <w:rFonts w:hint="eastAsia" w:ascii="Times New Roman" w:hAnsi="Times New Roman" w:cs="Times New Roman"/>
          <w:sz w:val="32"/>
          <w:szCs w:val="32"/>
          <w:lang w:val="en-US" w:eastAsia="zh-CN"/>
        </w:rPr>
        <w:t>清洗</w:t>
      </w:r>
      <w:r>
        <w:rPr>
          <w:rFonts w:hint="default" w:ascii="Times New Roman" w:hAnsi="Times New Roman" w:eastAsia="仿宋_GB2312" w:cs="Times New Roman"/>
          <w:sz w:val="32"/>
          <w:szCs w:val="32"/>
        </w:rPr>
        <w:t>、</w:t>
      </w:r>
      <w:r>
        <w:rPr>
          <w:rFonts w:hint="eastAsia" w:ascii="Times New Roman" w:hAnsi="Times New Roman" w:cs="Times New Roman"/>
          <w:sz w:val="32"/>
          <w:szCs w:val="32"/>
          <w:lang w:val="en-US" w:eastAsia="zh-CN"/>
        </w:rPr>
        <w:t>加工</w:t>
      </w:r>
      <w:r>
        <w:rPr>
          <w:rFonts w:hint="default" w:ascii="Times New Roman" w:hAnsi="Times New Roman" w:eastAsia="仿宋_GB2312" w:cs="Times New Roman"/>
          <w:sz w:val="32"/>
          <w:szCs w:val="32"/>
        </w:rPr>
        <w:t>等环节的现状与问题</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pacing w:val="2"/>
          <w:sz w:val="32"/>
          <w:szCs w:val="32"/>
        </w:rPr>
        <w:t>形成了标准的基本构架，对主要内容进行了讨论并对项目的工作进行了部署和安排。</w:t>
      </w:r>
    </w:p>
    <w:p w14:paraId="0573F64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Times New Roman" w:hAnsi="Times New Roman" w:eastAsia="仿宋_GB2312" w:cs="Times New Roman"/>
          <w:spacing w:val="2"/>
          <w:sz w:val="32"/>
          <w:szCs w:val="32"/>
          <w:lang w:eastAsia="zh-CN"/>
        </w:rPr>
      </w:pPr>
      <w:r>
        <w:rPr>
          <w:rFonts w:hint="eastAsia" w:ascii="Times New Roman" w:hAnsi="Times New Roman" w:eastAsia="仿宋_GB2312" w:cs="Times New Roman"/>
          <w:spacing w:val="2"/>
          <w:sz w:val="32"/>
          <w:szCs w:val="32"/>
          <w:lang w:eastAsia="zh-CN"/>
        </w:rPr>
        <w:drawing>
          <wp:inline distT="0" distB="0" distL="114300" distR="114300">
            <wp:extent cx="2736215" cy="1825625"/>
            <wp:effectExtent l="0" t="0" r="6985" b="3175"/>
            <wp:docPr id="2" name="图片 2" descr="IMG_8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8474"/>
                    <pic:cNvPicPr>
                      <a:picLocks noChangeAspect="1"/>
                    </pic:cNvPicPr>
                  </pic:nvPicPr>
                  <pic:blipFill>
                    <a:blip r:embed="rId5"/>
                    <a:stretch>
                      <a:fillRect/>
                    </a:stretch>
                  </pic:blipFill>
                  <pic:spPr>
                    <a:xfrm>
                      <a:off x="0" y="0"/>
                      <a:ext cx="2736215" cy="1825625"/>
                    </a:xfrm>
                    <a:prstGeom prst="rect">
                      <a:avLst/>
                    </a:prstGeom>
                  </pic:spPr>
                </pic:pic>
              </a:graphicData>
            </a:graphic>
          </wp:inline>
        </w:drawing>
      </w:r>
      <w:r>
        <w:rPr>
          <w:rFonts w:hint="eastAsia" w:ascii="Times New Roman" w:hAnsi="Times New Roman" w:cs="Times New Roman"/>
          <w:spacing w:val="2"/>
          <w:sz w:val="32"/>
          <w:szCs w:val="32"/>
          <w:lang w:val="en-US" w:eastAsia="zh-CN"/>
        </w:rPr>
        <w:t xml:space="preserve"> </w:t>
      </w:r>
      <w:r>
        <w:rPr>
          <w:rFonts w:hint="eastAsia" w:ascii="Times New Roman" w:hAnsi="Times New Roman" w:eastAsia="仿宋_GB2312" w:cs="Times New Roman"/>
          <w:spacing w:val="2"/>
          <w:sz w:val="32"/>
          <w:szCs w:val="32"/>
          <w:lang w:eastAsia="zh-CN"/>
        </w:rPr>
        <w:drawing>
          <wp:inline distT="0" distB="0" distL="114300" distR="114300">
            <wp:extent cx="2734945" cy="1824990"/>
            <wp:effectExtent l="0" t="0" r="8255" b="3810"/>
            <wp:docPr id="3" name="图片 3" descr="IMG_8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8535"/>
                    <pic:cNvPicPr>
                      <a:picLocks noChangeAspect="1"/>
                    </pic:cNvPicPr>
                  </pic:nvPicPr>
                  <pic:blipFill>
                    <a:blip r:embed="rId6"/>
                    <a:stretch>
                      <a:fillRect/>
                    </a:stretch>
                  </pic:blipFill>
                  <pic:spPr>
                    <a:xfrm>
                      <a:off x="0" y="0"/>
                      <a:ext cx="2734945" cy="1824990"/>
                    </a:xfrm>
                    <a:prstGeom prst="rect">
                      <a:avLst/>
                    </a:prstGeom>
                  </pic:spPr>
                </pic:pic>
              </a:graphicData>
            </a:graphic>
          </wp:inline>
        </w:drawing>
      </w:r>
    </w:p>
    <w:p w14:paraId="7868B0F7">
      <w:pPr>
        <w:keepNext w:val="0"/>
        <w:keepLines w:val="0"/>
        <w:pageBreakBefore w:val="0"/>
        <w:widowControl w:val="0"/>
        <w:kinsoku/>
        <w:wordWrap/>
        <w:overflowPunct/>
        <w:topLinePunct w:val="0"/>
        <w:autoSpaceDE/>
        <w:autoSpaceDN/>
        <w:bidi w:val="0"/>
        <w:adjustRightInd w:val="0"/>
        <w:snapToGrid w:val="0"/>
        <w:spacing w:line="240" w:lineRule="auto"/>
        <w:ind w:firstLine="632" w:firstLineChars="300"/>
        <w:jc w:val="left"/>
        <w:textAlignment w:val="auto"/>
        <w:rPr>
          <w:rFonts w:hint="default" w:ascii="Times New Roman" w:hAnsi="Times New Roman" w:eastAsia="仿宋" w:cs="Times New Roman"/>
          <w:spacing w:val="2"/>
          <w:sz w:val="21"/>
          <w:szCs w:val="21"/>
          <w:lang w:val="en-US" w:eastAsia="zh-CN"/>
        </w:rPr>
      </w:pPr>
      <w:r>
        <w:rPr>
          <w:rFonts w:hint="eastAsia" w:ascii="仿宋" w:hAnsi="仿宋" w:eastAsia="仿宋" w:cs="仿宋"/>
          <w:b/>
          <w:sz w:val="21"/>
          <w:szCs w:val="21"/>
        </w:rPr>
        <w:t>图</w:t>
      </w:r>
      <w:r>
        <w:rPr>
          <w:rFonts w:hint="eastAsia" w:ascii="仿宋" w:hAnsi="仿宋" w:eastAsia="仿宋" w:cs="仿宋"/>
          <w:b/>
          <w:sz w:val="21"/>
          <w:szCs w:val="21"/>
          <w:lang w:val="en-US" w:eastAsia="zh-CN"/>
        </w:rPr>
        <w:t>1</w:t>
      </w:r>
      <w:r>
        <w:rPr>
          <w:rFonts w:ascii="仿宋" w:hAnsi="仿宋" w:eastAsia="仿宋" w:cs="仿宋"/>
          <w:b/>
          <w:sz w:val="21"/>
          <w:szCs w:val="21"/>
        </w:rPr>
        <w:t xml:space="preserve">  </w:t>
      </w:r>
      <w:r>
        <w:rPr>
          <w:rFonts w:hint="eastAsia" w:ascii="仿宋" w:hAnsi="仿宋" w:eastAsia="仿宋" w:cs="仿宋"/>
          <w:b/>
          <w:sz w:val="21"/>
          <w:szCs w:val="21"/>
          <w:lang w:val="en-US" w:eastAsia="zh-CN"/>
        </w:rPr>
        <w:t>调研大果山楂产品生产企业               图2  大果山楂加工产品</w:t>
      </w:r>
    </w:p>
    <w:p w14:paraId="22058FAB">
      <w:pPr>
        <w:keepNext w:val="0"/>
        <w:keepLines w:val="0"/>
        <w:pageBreakBefore w:val="0"/>
        <w:widowControl w:val="0"/>
        <w:kinsoku/>
        <w:wordWrap/>
        <w:overflowPunct/>
        <w:topLinePunct w:val="0"/>
        <w:autoSpaceDE/>
        <w:autoSpaceDN/>
        <w:bidi w:val="0"/>
        <w:adjustRightInd w:val="0"/>
        <w:snapToGrid w:val="0"/>
        <w:spacing w:line="560" w:lineRule="exact"/>
        <w:ind w:firstLine="648" w:firstLineChars="200"/>
        <w:textAlignment w:val="auto"/>
        <w:rPr>
          <w:rFonts w:hint="default" w:ascii="Times New Roman" w:hAnsi="Times New Roman" w:eastAsia="仿宋_GB2312" w:cs="Times New Roman"/>
          <w:color w:val="000000"/>
          <w:spacing w:val="2"/>
          <w:sz w:val="32"/>
          <w:szCs w:val="32"/>
        </w:rPr>
      </w:pPr>
      <w:r>
        <w:rPr>
          <w:rFonts w:hint="default" w:ascii="Times New Roman" w:hAnsi="Times New Roman" w:eastAsia="仿宋_GB2312" w:cs="Times New Roman"/>
          <w:spacing w:val="2"/>
          <w:sz w:val="32"/>
          <w:szCs w:val="32"/>
        </w:rPr>
        <w:t>2024年</w:t>
      </w:r>
      <w:r>
        <w:rPr>
          <w:rFonts w:hint="default" w:ascii="Times New Roman" w:hAnsi="Times New Roman" w:eastAsia="仿宋_GB2312" w:cs="Times New Roman"/>
          <w:spacing w:val="2"/>
          <w:sz w:val="32"/>
          <w:szCs w:val="32"/>
          <w:lang w:val="en-US" w:eastAsia="zh-CN"/>
        </w:rPr>
        <w:t>8</w:t>
      </w:r>
      <w:r>
        <w:rPr>
          <w:rFonts w:hint="default" w:ascii="Times New Roman" w:hAnsi="Times New Roman" w:eastAsia="仿宋_GB2312" w:cs="Times New Roman"/>
          <w:spacing w:val="2"/>
          <w:sz w:val="32"/>
          <w:szCs w:val="32"/>
        </w:rPr>
        <w:t>月，在前期工作的基础之上，通过理清逻辑脉络，整合已有的参考资料中有关</w:t>
      </w:r>
      <w:r>
        <w:rPr>
          <w:rFonts w:hint="default" w:ascii="Times New Roman" w:hAnsi="Times New Roman" w:eastAsia="仿宋_GB2312" w:cs="Times New Roman"/>
          <w:spacing w:val="2"/>
          <w:sz w:val="32"/>
          <w:szCs w:val="32"/>
          <w:lang w:val="en-US" w:eastAsia="zh-CN"/>
        </w:rPr>
        <w:t>各类</w:t>
      </w:r>
      <w:r>
        <w:rPr>
          <w:rFonts w:hint="eastAsia" w:ascii="Times New Roman" w:hAnsi="Times New Roman" w:cs="Times New Roman"/>
          <w:spacing w:val="2"/>
          <w:sz w:val="32"/>
          <w:szCs w:val="32"/>
          <w:lang w:val="en-US" w:eastAsia="zh-CN"/>
        </w:rPr>
        <w:t>果汁产品的</w:t>
      </w:r>
      <w:r>
        <w:rPr>
          <w:rFonts w:hint="default" w:ascii="Times New Roman" w:hAnsi="Times New Roman" w:eastAsia="仿宋_GB2312" w:cs="Times New Roman"/>
          <w:color w:val="000000"/>
          <w:spacing w:val="2"/>
          <w:sz w:val="32"/>
          <w:szCs w:val="32"/>
        </w:rPr>
        <w:t>技术要求</w:t>
      </w:r>
      <w:r>
        <w:rPr>
          <w:rFonts w:hint="default" w:ascii="Times New Roman" w:hAnsi="Times New Roman" w:eastAsia="仿宋_GB2312" w:cs="Times New Roman"/>
          <w:spacing w:val="2"/>
          <w:sz w:val="32"/>
          <w:szCs w:val="32"/>
        </w:rPr>
        <w:t>，并结合</w:t>
      </w:r>
      <w:r>
        <w:rPr>
          <w:rFonts w:hint="eastAsia" w:ascii="Times New Roman" w:hAnsi="Times New Roman" w:cs="Times New Roman"/>
          <w:color w:val="000000"/>
          <w:spacing w:val="2"/>
          <w:sz w:val="32"/>
          <w:szCs w:val="32"/>
          <w:lang w:val="en-US" w:eastAsia="zh-CN"/>
        </w:rPr>
        <w:t>大果山楂原汁</w:t>
      </w:r>
      <w:r>
        <w:rPr>
          <w:rFonts w:hint="default" w:ascii="Times New Roman" w:hAnsi="Times New Roman" w:eastAsia="仿宋_GB2312" w:cs="Times New Roman"/>
          <w:color w:val="000000"/>
          <w:spacing w:val="2"/>
          <w:sz w:val="32"/>
          <w:szCs w:val="32"/>
        </w:rPr>
        <w:t>要求的基础上，按照简化、统一等原则编制完成团体标准《</w:t>
      </w:r>
      <w:r>
        <w:rPr>
          <w:rFonts w:hint="default" w:ascii="Times New Roman" w:hAnsi="Times New Roman" w:cs="Times New Roman"/>
          <w:sz w:val="32"/>
          <w:szCs w:val="32"/>
          <w:lang w:val="en-US" w:eastAsia="zh-CN"/>
        </w:rPr>
        <w:t>大果山楂原汁</w:t>
      </w:r>
      <w:r>
        <w:rPr>
          <w:rFonts w:hint="default" w:ascii="Times New Roman" w:hAnsi="Times New Roman" w:eastAsia="仿宋_GB2312" w:cs="Times New Roman"/>
          <w:color w:val="000000"/>
          <w:spacing w:val="2"/>
          <w:sz w:val="32"/>
          <w:szCs w:val="32"/>
        </w:rPr>
        <w:t>》（草案）。</w:t>
      </w:r>
    </w:p>
    <w:p w14:paraId="784F6028">
      <w:pPr>
        <w:keepNext w:val="0"/>
        <w:keepLines w:val="0"/>
        <w:pageBreakBefore w:val="0"/>
        <w:widowControl w:val="0"/>
        <w:kinsoku/>
        <w:wordWrap/>
        <w:overflowPunct/>
        <w:topLinePunct w:val="0"/>
        <w:autoSpaceDE/>
        <w:autoSpaceDN/>
        <w:bidi w:val="0"/>
        <w:adjustRightInd w:val="0"/>
        <w:snapToGrid w:val="0"/>
        <w:spacing w:line="560" w:lineRule="exact"/>
        <w:ind w:firstLine="648" w:firstLineChars="200"/>
        <w:textAlignment w:val="auto"/>
        <w:rPr>
          <w:rFonts w:hint="default" w:ascii="Times New Roman" w:hAnsi="Times New Roman" w:eastAsia="仿宋_GB2312" w:cs="Times New Roman"/>
          <w:color w:val="000000"/>
          <w:spacing w:val="2"/>
          <w:sz w:val="32"/>
          <w:szCs w:val="32"/>
        </w:rPr>
      </w:pPr>
      <w:r>
        <w:rPr>
          <w:rFonts w:hint="default" w:ascii="Times New Roman" w:hAnsi="Times New Roman" w:eastAsia="仿宋_GB2312" w:cs="Times New Roman"/>
          <w:color w:val="000000"/>
          <w:spacing w:val="2"/>
          <w:sz w:val="32"/>
          <w:szCs w:val="32"/>
        </w:rPr>
        <w:t>2024年</w:t>
      </w:r>
      <w:r>
        <w:rPr>
          <w:rFonts w:hint="default" w:ascii="Times New Roman" w:hAnsi="Times New Roman" w:eastAsia="仿宋_GB2312" w:cs="Times New Roman"/>
          <w:color w:val="000000"/>
          <w:spacing w:val="2"/>
          <w:sz w:val="32"/>
          <w:szCs w:val="32"/>
          <w:lang w:val="en-US" w:eastAsia="zh-CN"/>
        </w:rPr>
        <w:t>10</w:t>
      </w:r>
      <w:r>
        <w:rPr>
          <w:rFonts w:hint="default" w:ascii="Times New Roman" w:hAnsi="Times New Roman" w:eastAsia="仿宋_GB2312" w:cs="Times New Roman"/>
          <w:color w:val="000000"/>
          <w:spacing w:val="2"/>
          <w:sz w:val="32"/>
          <w:szCs w:val="32"/>
        </w:rPr>
        <w:t>月，标准编制工作组深入各地进行实地调研，并组织相关主管单位等召开标准研讨会，通过研讨会收集了大量意见，对标准草案进行了反复修改和研究讨论，</w:t>
      </w:r>
      <w:r>
        <w:rPr>
          <w:rFonts w:hint="default" w:ascii="Times New Roman" w:hAnsi="Times New Roman" w:eastAsia="仿宋_GB2312" w:cs="Times New Roman"/>
          <w:color w:val="000000"/>
          <w:spacing w:val="2"/>
          <w:sz w:val="32"/>
          <w:szCs w:val="32"/>
          <w:lang w:val="en-US" w:eastAsia="zh-CN"/>
        </w:rPr>
        <w:t>补充</w:t>
      </w:r>
      <w:r>
        <w:rPr>
          <w:rFonts w:hint="default" w:ascii="Times New Roman" w:hAnsi="Times New Roman" w:eastAsia="仿宋_GB2312" w:cs="Times New Roman"/>
          <w:color w:val="000000"/>
          <w:spacing w:val="2"/>
          <w:sz w:val="32"/>
          <w:szCs w:val="32"/>
        </w:rPr>
        <w:t>掌握了</w:t>
      </w:r>
      <w:r>
        <w:rPr>
          <w:rFonts w:hint="default" w:ascii="Times New Roman" w:hAnsi="Times New Roman" w:cs="Times New Roman"/>
          <w:sz w:val="32"/>
          <w:szCs w:val="32"/>
          <w:lang w:val="en-US" w:eastAsia="zh-CN"/>
        </w:rPr>
        <w:t>大果山楂原汁</w:t>
      </w:r>
      <w:r>
        <w:rPr>
          <w:rFonts w:hint="eastAsia" w:ascii="Times New Roman" w:hAnsi="Times New Roman" w:cs="Times New Roman"/>
          <w:color w:val="000000"/>
          <w:spacing w:val="2"/>
          <w:sz w:val="32"/>
          <w:szCs w:val="32"/>
          <w:lang w:val="en-US" w:eastAsia="zh-CN"/>
        </w:rPr>
        <w:t>生产的</w:t>
      </w:r>
      <w:r>
        <w:rPr>
          <w:rFonts w:hint="default" w:ascii="Times New Roman" w:hAnsi="Times New Roman" w:eastAsia="仿宋_GB2312" w:cs="Times New Roman"/>
          <w:color w:val="000000"/>
          <w:spacing w:val="2"/>
          <w:sz w:val="32"/>
          <w:szCs w:val="32"/>
        </w:rPr>
        <w:t>基本情况以及要求，最终形成了团体标准《</w:t>
      </w:r>
      <w:r>
        <w:rPr>
          <w:rFonts w:hint="default" w:ascii="Times New Roman" w:hAnsi="Times New Roman" w:cs="Times New Roman"/>
          <w:sz w:val="32"/>
          <w:szCs w:val="32"/>
          <w:lang w:val="en-US" w:eastAsia="zh-CN"/>
        </w:rPr>
        <w:t>大果山楂原汁</w:t>
      </w:r>
      <w:r>
        <w:rPr>
          <w:rFonts w:hint="default" w:ascii="Times New Roman" w:hAnsi="Times New Roman" w:eastAsia="仿宋_GB2312" w:cs="Times New Roman"/>
          <w:color w:val="000000"/>
          <w:spacing w:val="2"/>
          <w:sz w:val="32"/>
          <w:szCs w:val="32"/>
        </w:rPr>
        <w:t>》（征求意见稿）及其编制说明</w:t>
      </w:r>
      <w:r>
        <w:rPr>
          <w:rFonts w:hint="default" w:ascii="Times New Roman" w:hAnsi="Times New Roman" w:eastAsia="仿宋_GB2312" w:cs="Times New Roman"/>
          <w:color w:val="000000"/>
          <w:spacing w:val="2"/>
          <w:sz w:val="32"/>
          <w:szCs w:val="32"/>
          <w:lang w:eastAsia="zh-CN"/>
        </w:rPr>
        <w:t>（</w:t>
      </w:r>
      <w:r>
        <w:rPr>
          <w:rFonts w:hint="default" w:ascii="Times New Roman" w:hAnsi="Times New Roman" w:eastAsia="仿宋_GB2312" w:cs="Times New Roman"/>
          <w:color w:val="000000"/>
          <w:spacing w:val="2"/>
          <w:sz w:val="32"/>
          <w:szCs w:val="32"/>
          <w:lang w:val="en-US" w:eastAsia="zh-CN"/>
        </w:rPr>
        <w:t>初稿</w:t>
      </w:r>
      <w:r>
        <w:rPr>
          <w:rFonts w:hint="default" w:ascii="Times New Roman" w:hAnsi="Times New Roman" w:eastAsia="仿宋_GB2312" w:cs="Times New Roman"/>
          <w:color w:val="000000"/>
          <w:spacing w:val="2"/>
          <w:sz w:val="32"/>
          <w:szCs w:val="32"/>
          <w:lang w:eastAsia="zh-CN"/>
        </w:rPr>
        <w:t>）</w:t>
      </w:r>
      <w:r>
        <w:rPr>
          <w:rFonts w:hint="default" w:ascii="Times New Roman" w:hAnsi="Times New Roman" w:eastAsia="仿宋_GB2312" w:cs="Times New Roman"/>
          <w:color w:val="000000"/>
          <w:spacing w:val="2"/>
          <w:sz w:val="32"/>
          <w:szCs w:val="32"/>
        </w:rPr>
        <w:t>。</w:t>
      </w:r>
    </w:p>
    <w:p w14:paraId="71433360">
      <w:pPr>
        <w:keepNext w:val="0"/>
        <w:keepLines w:val="0"/>
        <w:pageBreakBefore w:val="0"/>
        <w:widowControl w:val="0"/>
        <w:kinsoku/>
        <w:wordWrap/>
        <w:overflowPunct/>
        <w:topLinePunct w:val="0"/>
        <w:autoSpaceDE/>
        <w:autoSpaceDN/>
        <w:bidi w:val="0"/>
        <w:adjustRightInd w:val="0"/>
        <w:snapToGrid w:val="0"/>
        <w:spacing w:line="560" w:lineRule="exact"/>
        <w:ind w:firstLine="648" w:firstLineChars="200"/>
        <w:textAlignment w:val="auto"/>
        <w:rPr>
          <w:rFonts w:hint="default" w:ascii="Times New Roman" w:hAnsi="Times New Roman" w:eastAsia="仿宋_GB2312" w:cs="Times New Roman"/>
          <w:color w:val="000000"/>
          <w:spacing w:val="2"/>
          <w:sz w:val="32"/>
          <w:szCs w:val="32"/>
        </w:rPr>
      </w:pPr>
      <w:r>
        <w:rPr>
          <w:rFonts w:hint="default" w:ascii="Times New Roman" w:hAnsi="Times New Roman" w:eastAsia="仿宋_GB2312" w:cs="Times New Roman"/>
          <w:color w:val="000000"/>
          <w:spacing w:val="2"/>
          <w:sz w:val="32"/>
          <w:szCs w:val="32"/>
        </w:rPr>
        <w:t>202</w:t>
      </w:r>
      <w:r>
        <w:rPr>
          <w:rFonts w:hint="default" w:ascii="Times New Roman" w:hAnsi="Times New Roman" w:eastAsia="仿宋_GB2312" w:cs="Times New Roman"/>
          <w:color w:val="000000"/>
          <w:spacing w:val="2"/>
          <w:sz w:val="32"/>
          <w:szCs w:val="32"/>
          <w:lang w:val="en-US" w:eastAsia="zh-CN"/>
        </w:rPr>
        <w:t>5</w:t>
      </w:r>
      <w:r>
        <w:rPr>
          <w:rFonts w:hint="default" w:ascii="Times New Roman" w:hAnsi="Times New Roman" w:eastAsia="仿宋_GB2312" w:cs="Times New Roman"/>
          <w:color w:val="000000"/>
          <w:spacing w:val="2"/>
          <w:sz w:val="32"/>
          <w:szCs w:val="32"/>
        </w:rPr>
        <w:t>年</w:t>
      </w:r>
      <w:r>
        <w:rPr>
          <w:rFonts w:hint="default" w:ascii="Times New Roman" w:hAnsi="Times New Roman" w:eastAsia="仿宋_GB2312" w:cs="Times New Roman"/>
          <w:color w:val="000000"/>
          <w:spacing w:val="2"/>
          <w:sz w:val="32"/>
          <w:szCs w:val="32"/>
          <w:lang w:val="en-US" w:eastAsia="zh-CN"/>
        </w:rPr>
        <w:t>X</w:t>
      </w:r>
      <w:r>
        <w:rPr>
          <w:rFonts w:hint="default" w:ascii="Times New Roman" w:hAnsi="Times New Roman" w:eastAsia="仿宋_GB2312" w:cs="Times New Roman"/>
          <w:color w:val="000000"/>
          <w:spacing w:val="2"/>
          <w:sz w:val="32"/>
          <w:szCs w:val="32"/>
        </w:rPr>
        <w:t>月，标准编制工作组向</w:t>
      </w:r>
      <w:r>
        <w:rPr>
          <w:rFonts w:hint="default" w:ascii="Times New Roman" w:hAnsi="Times New Roman" w:eastAsia="仿宋_GB2312" w:cs="Times New Roman"/>
          <w:sz w:val="32"/>
          <w:szCs w:val="32"/>
          <w:lang w:eastAsia="zh-CN"/>
        </w:rPr>
        <w:t>广西壮族自治区分析测试中心、广西壮族自治区中医药研究院、广西中药质量标准研究重点实验室、广西靖西梁鹏食品有限公司、广西XXXXX有限公司</w:t>
      </w:r>
      <w:r>
        <w:rPr>
          <w:rFonts w:hint="default" w:ascii="Times New Roman" w:hAnsi="Times New Roman" w:eastAsia="仿宋_GB2312" w:cs="Times New Roman"/>
          <w:sz w:val="32"/>
          <w:szCs w:val="32"/>
        </w:rPr>
        <w:t>等单位</w:t>
      </w:r>
      <w:r>
        <w:rPr>
          <w:rFonts w:hint="default" w:ascii="Times New Roman" w:hAnsi="Times New Roman" w:eastAsia="仿宋_GB2312" w:cs="Times New Roman"/>
          <w:color w:val="000000"/>
          <w:spacing w:val="2"/>
          <w:sz w:val="32"/>
          <w:szCs w:val="32"/>
        </w:rPr>
        <w:t>专家征求意见</w:t>
      </w:r>
      <w:r>
        <w:rPr>
          <w:rFonts w:hint="default" w:ascii="Times New Roman" w:hAnsi="Times New Roman" w:eastAsia="仿宋_GB2312" w:cs="Times New Roman"/>
          <w:color w:val="000000"/>
          <w:spacing w:val="2"/>
          <w:sz w:val="32"/>
          <w:szCs w:val="32"/>
          <w:lang w:eastAsia="zh-CN"/>
        </w:rPr>
        <w:t>。</w:t>
      </w:r>
      <w:r>
        <w:rPr>
          <w:rFonts w:hint="default" w:ascii="Times New Roman" w:hAnsi="Times New Roman" w:eastAsia="仿宋_GB2312" w:cs="Times New Roman"/>
          <w:color w:val="000000"/>
          <w:spacing w:val="2"/>
          <w:sz w:val="32"/>
          <w:szCs w:val="32"/>
        </w:rPr>
        <w:t>标准编制工作组根据专家反馈的意见进行多次讨论与修改，梳理汇总形成征求意见处理汇总表，修改完善标准，最终形成了团体标准《</w:t>
      </w:r>
      <w:r>
        <w:rPr>
          <w:rFonts w:hint="default" w:ascii="Times New Roman" w:hAnsi="Times New Roman" w:cs="Times New Roman"/>
          <w:sz w:val="32"/>
          <w:szCs w:val="32"/>
          <w:lang w:val="en-US" w:eastAsia="zh-CN"/>
        </w:rPr>
        <w:t>大果山楂原汁</w:t>
      </w:r>
      <w:r>
        <w:rPr>
          <w:rFonts w:hint="default" w:ascii="Times New Roman" w:hAnsi="Times New Roman" w:eastAsia="仿宋_GB2312" w:cs="Times New Roman"/>
          <w:color w:val="000000"/>
          <w:spacing w:val="2"/>
          <w:sz w:val="32"/>
          <w:szCs w:val="32"/>
        </w:rPr>
        <w:t>》（送审稿）及其编制说明。</w:t>
      </w:r>
    </w:p>
    <w:p w14:paraId="4E3D34D9">
      <w:pPr>
        <w:keepNext w:val="0"/>
        <w:keepLines w:val="0"/>
        <w:pageBreakBefore w:val="0"/>
        <w:widowControl w:val="0"/>
        <w:kinsoku/>
        <w:wordWrap/>
        <w:overflowPunct/>
        <w:topLinePunct w:val="0"/>
        <w:autoSpaceDE/>
        <w:autoSpaceDN/>
        <w:bidi w:val="0"/>
        <w:adjustRightInd w:val="0"/>
        <w:snapToGrid w:val="0"/>
        <w:spacing w:before="157" w:beforeLines="50" w:after="157" w:afterLines="50" w:line="560" w:lineRule="exact"/>
        <w:ind w:firstLine="640" w:firstLineChars="200"/>
        <w:jc w:val="both"/>
        <w:textAlignment w:val="auto"/>
        <w:outlineLvl w:val="0"/>
        <w:rPr>
          <w:rFonts w:hint="eastAsia" w:ascii="黑体" w:hAnsi="黑体" w:eastAsia="黑体" w:cs="黑体"/>
          <w:b w:val="0"/>
          <w:bCs/>
          <w:sz w:val="32"/>
          <w:szCs w:val="32"/>
          <w:lang w:eastAsia="zh-CN"/>
        </w:rPr>
      </w:pPr>
      <w:r>
        <w:rPr>
          <w:rFonts w:hint="eastAsia" w:ascii="黑体" w:hAnsi="黑体" w:eastAsia="黑体" w:cs="黑体"/>
          <w:b w:val="0"/>
          <w:bCs/>
          <w:sz w:val="32"/>
          <w:szCs w:val="32"/>
        </w:rPr>
        <w:t>四、制定标准的原则</w:t>
      </w:r>
    </w:p>
    <w:p w14:paraId="4DEB7440">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（一）实用性原则</w:t>
      </w:r>
    </w:p>
    <w:p w14:paraId="7F40829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本标准中有关</w:t>
      </w:r>
      <w:r>
        <w:rPr>
          <w:rFonts w:hint="default" w:ascii="Times New Roman" w:hAnsi="Times New Roman" w:cs="Times New Roman"/>
          <w:sz w:val="32"/>
          <w:szCs w:val="32"/>
          <w:lang w:val="en-US" w:eastAsia="zh-CN"/>
        </w:rPr>
        <w:t>大果山楂原汁</w:t>
      </w:r>
      <w:r>
        <w:rPr>
          <w:rFonts w:hint="default" w:ascii="Times New Roman" w:hAnsi="Times New Roman" w:eastAsia="仿宋_GB2312" w:cs="Times New Roman"/>
          <w:sz w:val="32"/>
          <w:szCs w:val="32"/>
        </w:rPr>
        <w:t>规定和要求，是在充分收集相关资料和文献基础上制定的，分析区内</w:t>
      </w:r>
      <w:r>
        <w:rPr>
          <w:rFonts w:hint="default" w:ascii="Times New Roman" w:hAnsi="Times New Roman" w:cs="Times New Roman"/>
          <w:sz w:val="32"/>
          <w:szCs w:val="32"/>
          <w:lang w:val="en-US" w:eastAsia="zh-CN"/>
        </w:rPr>
        <w:t>大果山楂</w:t>
      </w:r>
      <w:r>
        <w:rPr>
          <w:rFonts w:hint="eastAsia" w:ascii="Times New Roman" w:hAnsi="Times New Roman" w:cs="Times New Roman"/>
          <w:sz w:val="32"/>
          <w:szCs w:val="32"/>
          <w:lang w:val="en-US" w:eastAsia="zh-CN"/>
        </w:rPr>
        <w:t>种植</w:t>
      </w:r>
      <w:r>
        <w:rPr>
          <w:rFonts w:hint="default" w:ascii="Times New Roman" w:hAnsi="Times New Roman" w:eastAsia="仿宋_GB2312" w:cs="Times New Roman"/>
          <w:sz w:val="32"/>
          <w:szCs w:val="32"/>
        </w:rPr>
        <w:t>现状，调研区内</w:t>
      </w:r>
      <w:r>
        <w:rPr>
          <w:rFonts w:hint="eastAsia" w:ascii="Times New Roman" w:hAnsi="Times New Roman" w:cs="Times New Roman"/>
          <w:sz w:val="32"/>
          <w:szCs w:val="32"/>
          <w:lang w:val="en-US" w:eastAsia="zh-CN"/>
        </w:rPr>
        <w:t>大果山楂</w:t>
      </w:r>
      <w:r>
        <w:rPr>
          <w:rFonts w:hint="default" w:ascii="Times New Roman" w:hAnsi="Times New Roman" w:eastAsia="仿宋_GB2312" w:cs="Times New Roman"/>
          <w:sz w:val="32"/>
          <w:szCs w:val="32"/>
        </w:rPr>
        <w:t>加工及产品开发应用情况</w:t>
      </w:r>
      <w:r>
        <w:rPr>
          <w:rFonts w:hint="default" w:ascii="Times New Roman" w:hAnsi="Times New Roman" w:eastAsia="仿宋_GB2312" w:cs="Times New Roman"/>
          <w:spacing w:val="2"/>
          <w:sz w:val="32"/>
          <w:szCs w:val="32"/>
        </w:rPr>
        <w:t>，在现有国家、行业标准相关</w:t>
      </w:r>
      <w:r>
        <w:rPr>
          <w:rFonts w:hint="eastAsia" w:ascii="Times New Roman" w:hAnsi="Times New Roman" w:cs="Times New Roman"/>
          <w:color w:val="000000"/>
          <w:spacing w:val="2"/>
          <w:sz w:val="32"/>
          <w:szCs w:val="32"/>
          <w:lang w:val="en-US" w:eastAsia="zh-CN"/>
        </w:rPr>
        <w:t>产</w:t>
      </w:r>
      <w:r>
        <w:rPr>
          <w:rFonts w:hint="default" w:ascii="Times New Roman" w:hAnsi="Times New Roman" w:eastAsia="仿宋_GB2312" w:cs="Times New Roman"/>
          <w:color w:val="000000"/>
          <w:spacing w:val="2"/>
          <w:sz w:val="32"/>
          <w:szCs w:val="32"/>
        </w:rPr>
        <w:t>品</w:t>
      </w:r>
      <w:r>
        <w:rPr>
          <w:rFonts w:hint="default" w:ascii="Times New Roman" w:hAnsi="Times New Roman" w:eastAsia="仿宋_GB2312" w:cs="Times New Roman"/>
          <w:spacing w:val="2"/>
          <w:sz w:val="32"/>
          <w:szCs w:val="32"/>
        </w:rPr>
        <w:t>要求的基础上，结合起草单位多年的关于</w:t>
      </w:r>
      <w:r>
        <w:rPr>
          <w:rFonts w:hint="eastAsia" w:ascii="Times New Roman" w:hAnsi="Times New Roman" w:cs="Times New Roman"/>
          <w:color w:val="000000"/>
          <w:spacing w:val="2"/>
          <w:sz w:val="32"/>
          <w:szCs w:val="32"/>
          <w:lang w:val="en-US" w:eastAsia="zh-CN"/>
        </w:rPr>
        <w:t>大果山楂产品</w:t>
      </w:r>
      <w:r>
        <w:rPr>
          <w:rFonts w:hint="default" w:ascii="Times New Roman" w:hAnsi="Times New Roman" w:eastAsia="仿宋_GB2312" w:cs="Times New Roman"/>
          <w:color w:val="000000"/>
          <w:spacing w:val="2"/>
          <w:sz w:val="32"/>
          <w:szCs w:val="32"/>
          <w:lang w:val="en-US" w:eastAsia="zh-CN"/>
        </w:rPr>
        <w:t>加工</w:t>
      </w:r>
      <w:r>
        <w:rPr>
          <w:rFonts w:hint="default" w:ascii="Times New Roman" w:hAnsi="Times New Roman" w:eastAsia="仿宋_GB2312" w:cs="Times New Roman"/>
          <w:spacing w:val="2"/>
          <w:sz w:val="32"/>
          <w:szCs w:val="32"/>
        </w:rPr>
        <w:t>技术研究经验而总结起草的，符合当前</w:t>
      </w:r>
      <w:r>
        <w:rPr>
          <w:rFonts w:hint="eastAsia" w:ascii="Times New Roman" w:hAnsi="Times New Roman" w:cs="Times New Roman"/>
          <w:color w:val="000000"/>
          <w:spacing w:val="2"/>
          <w:sz w:val="32"/>
          <w:szCs w:val="32"/>
          <w:lang w:val="en-US" w:eastAsia="zh-CN"/>
        </w:rPr>
        <w:t>大果山楂产品</w:t>
      </w:r>
      <w:r>
        <w:rPr>
          <w:rFonts w:hint="default" w:ascii="Times New Roman" w:hAnsi="Times New Roman" w:eastAsia="仿宋_GB2312" w:cs="Times New Roman"/>
          <w:spacing w:val="2"/>
          <w:sz w:val="32"/>
          <w:szCs w:val="32"/>
        </w:rPr>
        <w:t>发展方向与市场需求，有利于行业的长远发展，提高农民经济效益，对推动</w:t>
      </w:r>
      <w:r>
        <w:rPr>
          <w:rFonts w:hint="eastAsia" w:ascii="Times New Roman" w:hAnsi="Times New Roman" w:cs="Times New Roman"/>
          <w:color w:val="000000"/>
          <w:spacing w:val="2"/>
          <w:sz w:val="32"/>
          <w:szCs w:val="32"/>
          <w:lang w:val="en-US" w:eastAsia="zh-CN"/>
        </w:rPr>
        <w:t>大果山楂加工</w:t>
      </w:r>
      <w:r>
        <w:rPr>
          <w:rFonts w:hint="default" w:ascii="Times New Roman" w:hAnsi="Times New Roman" w:eastAsia="仿宋_GB2312" w:cs="Times New Roman"/>
          <w:spacing w:val="2"/>
          <w:sz w:val="32"/>
          <w:szCs w:val="32"/>
        </w:rPr>
        <w:t>产业健康发展，促进农民增收致富，具有较强的实用性和可操作性。</w:t>
      </w:r>
    </w:p>
    <w:p w14:paraId="49A1B31E">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（二）协调性原则</w:t>
      </w:r>
    </w:p>
    <w:p w14:paraId="6F0EFCDF">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eastAsia" w:ascii="Times New Roman" w:hAnsi="Times New Roman" w:cs="Times New Roman"/>
          <w:sz w:val="32"/>
          <w:szCs w:val="32"/>
          <w:lang w:val="en-US" w:eastAsia="zh-CN"/>
        </w:rPr>
        <w:t>大果山楂</w:t>
      </w:r>
      <w:r>
        <w:rPr>
          <w:rFonts w:hint="default" w:ascii="Times New Roman" w:hAnsi="Times New Roman" w:cs="Times New Roman"/>
          <w:sz w:val="32"/>
          <w:szCs w:val="32"/>
          <w:lang w:val="en-US" w:eastAsia="zh-CN"/>
        </w:rPr>
        <w:t>原汁</w:t>
      </w:r>
      <w:r>
        <w:rPr>
          <w:rFonts w:hint="default" w:ascii="Times New Roman" w:hAnsi="Times New Roman" w:eastAsia="仿宋_GB2312" w:cs="Times New Roman"/>
          <w:sz w:val="32"/>
          <w:szCs w:val="32"/>
        </w:rPr>
        <w:t>无国际标准，本标准在编写过程中注意了与</w:t>
      </w:r>
      <w:r>
        <w:rPr>
          <w:rFonts w:hint="default" w:ascii="Times New Roman" w:hAnsi="Times New Roman" w:eastAsia="仿宋_GB2312" w:cs="Times New Roman"/>
          <w:sz w:val="32"/>
          <w:szCs w:val="32"/>
          <w:lang w:val="en-US" w:eastAsia="zh-CN"/>
        </w:rPr>
        <w:t>其他</w:t>
      </w:r>
      <w:r>
        <w:rPr>
          <w:rFonts w:hint="eastAsia" w:ascii="Times New Roman" w:hAnsi="Times New Roman" w:cs="Times New Roman"/>
          <w:sz w:val="32"/>
          <w:szCs w:val="32"/>
          <w:lang w:val="en-US" w:eastAsia="zh-CN"/>
        </w:rPr>
        <w:t>果汁产品</w:t>
      </w:r>
      <w:r>
        <w:rPr>
          <w:rFonts w:hint="default" w:ascii="Times New Roman" w:hAnsi="Times New Roman" w:eastAsia="仿宋_GB2312" w:cs="Times New Roman"/>
          <w:sz w:val="32"/>
          <w:szCs w:val="32"/>
        </w:rPr>
        <w:t>标准的协调问题，在内容上与现行法律法规、标准协调一致。</w:t>
      </w:r>
    </w:p>
    <w:p w14:paraId="73D7143E">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（三）规范性原则</w:t>
      </w:r>
    </w:p>
    <w:p w14:paraId="62C484C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本标准严格按照GB/T 1.1—2009《标准化工作导则 第1部分：标准的结构和编写》的要求和规定编写本标准的内容，保证标准的编写质量。</w:t>
      </w:r>
    </w:p>
    <w:p w14:paraId="1B6A24A8">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（四）前瞻性原则</w:t>
      </w:r>
    </w:p>
    <w:p w14:paraId="15EA29B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本标准在兼顾当前</w:t>
      </w:r>
      <w:r>
        <w:rPr>
          <w:rFonts w:hint="eastAsia" w:ascii="Times New Roman" w:hAnsi="Times New Roman" w:cs="Times New Roman"/>
          <w:color w:val="000000"/>
          <w:spacing w:val="2"/>
          <w:sz w:val="32"/>
          <w:szCs w:val="32"/>
          <w:lang w:val="en-US" w:eastAsia="zh-CN"/>
        </w:rPr>
        <w:t>大果山楂产品实际</w:t>
      </w:r>
      <w:r>
        <w:rPr>
          <w:rFonts w:hint="default" w:ascii="Times New Roman" w:hAnsi="Times New Roman" w:eastAsia="仿宋_GB2312" w:cs="Times New Roman"/>
          <w:sz w:val="32"/>
          <w:szCs w:val="32"/>
        </w:rPr>
        <w:t>生产情况的同时，还考虑到</w:t>
      </w:r>
      <w:r>
        <w:rPr>
          <w:rFonts w:hint="eastAsia" w:ascii="Times New Roman" w:hAnsi="Times New Roman" w:cs="Times New Roman"/>
          <w:sz w:val="32"/>
          <w:szCs w:val="32"/>
          <w:lang w:val="en-US" w:eastAsia="zh-CN"/>
        </w:rPr>
        <w:t>大果山楂</w:t>
      </w:r>
      <w:r>
        <w:rPr>
          <w:rFonts w:hint="default" w:ascii="Times New Roman" w:hAnsi="Times New Roman" w:eastAsia="仿宋_GB2312" w:cs="Times New Roman"/>
          <w:sz w:val="32"/>
          <w:szCs w:val="32"/>
        </w:rPr>
        <w:t>快速发展的趋势和需要，在标准中体现了个别特色性、前瞻性和先进性条款，作为对</w:t>
      </w:r>
      <w:r>
        <w:rPr>
          <w:rFonts w:hint="eastAsia" w:ascii="Times New Roman" w:hAnsi="Times New Roman" w:cs="Times New Roman"/>
          <w:sz w:val="32"/>
          <w:szCs w:val="32"/>
          <w:lang w:val="en-US" w:eastAsia="zh-CN"/>
        </w:rPr>
        <w:t>大果山楂产</w:t>
      </w:r>
      <w:r>
        <w:rPr>
          <w:rFonts w:hint="default" w:ascii="Times New Roman" w:hAnsi="Times New Roman" w:eastAsia="仿宋_GB2312" w:cs="Times New Roman"/>
          <w:sz w:val="32"/>
          <w:szCs w:val="32"/>
          <w:lang w:val="en-US" w:eastAsia="zh-CN"/>
        </w:rPr>
        <w:t>品</w:t>
      </w:r>
      <w:r>
        <w:rPr>
          <w:rFonts w:hint="default" w:ascii="Times New Roman" w:hAnsi="Times New Roman" w:eastAsia="仿宋_GB2312" w:cs="Times New Roman"/>
          <w:sz w:val="32"/>
          <w:szCs w:val="32"/>
        </w:rPr>
        <w:t>发展的指导。</w:t>
      </w:r>
    </w:p>
    <w:p w14:paraId="6B2DB696">
      <w:pPr>
        <w:keepNext w:val="0"/>
        <w:keepLines w:val="0"/>
        <w:pageBreakBefore w:val="0"/>
        <w:widowControl w:val="0"/>
        <w:kinsoku/>
        <w:wordWrap/>
        <w:overflowPunct/>
        <w:topLinePunct w:val="0"/>
        <w:autoSpaceDE/>
        <w:autoSpaceDN/>
        <w:bidi w:val="0"/>
        <w:adjustRightInd w:val="0"/>
        <w:snapToGrid w:val="0"/>
        <w:spacing w:before="157" w:beforeLines="50" w:after="157" w:afterLines="50" w:line="560" w:lineRule="exact"/>
        <w:ind w:firstLine="640" w:firstLineChars="200"/>
        <w:jc w:val="both"/>
        <w:textAlignment w:val="auto"/>
        <w:outlineLvl w:val="0"/>
        <w:rPr>
          <w:rFonts w:hint="eastAsia" w:ascii="黑体" w:hAnsi="黑体" w:eastAsia="黑体" w:cs="黑体"/>
          <w:b w:val="0"/>
          <w:bCs/>
          <w:sz w:val="32"/>
          <w:szCs w:val="32"/>
          <w:lang w:val="en-US" w:eastAsia="zh-CN"/>
        </w:rPr>
      </w:pPr>
      <w:r>
        <w:rPr>
          <w:rFonts w:hint="eastAsia" w:ascii="黑体" w:hAnsi="黑体" w:eastAsia="黑体" w:cs="黑体"/>
          <w:b w:val="0"/>
          <w:bCs/>
          <w:sz w:val="32"/>
          <w:szCs w:val="32"/>
        </w:rPr>
        <w:t>五、</w:t>
      </w:r>
      <w:r>
        <w:rPr>
          <w:rFonts w:hint="eastAsia" w:ascii="黑体" w:hAnsi="黑体" w:eastAsia="黑体" w:cs="黑体"/>
          <w:b w:val="0"/>
          <w:bCs/>
          <w:sz w:val="32"/>
          <w:szCs w:val="32"/>
          <w:lang w:val="en-US" w:eastAsia="zh-CN"/>
        </w:rPr>
        <w:t>标准主要内容及依据来源</w:t>
      </w:r>
    </w:p>
    <w:p w14:paraId="1A22307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FF0000"/>
          <w:sz w:val="32"/>
          <w:szCs w:val="32"/>
        </w:rPr>
      </w:pPr>
      <w:r>
        <w:rPr>
          <w:rFonts w:hint="eastAsia" w:ascii="Times New Roman" w:hAnsi="Times New Roman" w:cs="Times New Roman"/>
          <w:sz w:val="32"/>
          <w:szCs w:val="32"/>
          <w:lang w:val="en-US" w:eastAsia="zh-CN"/>
        </w:rPr>
        <w:t>大果山楂原汁</w:t>
      </w:r>
      <w:r>
        <w:rPr>
          <w:rFonts w:hint="default" w:ascii="Times New Roman" w:hAnsi="Times New Roman" w:eastAsia="仿宋_GB2312" w:cs="Times New Roman"/>
          <w:sz w:val="32"/>
          <w:szCs w:val="32"/>
        </w:rPr>
        <w:t>由</w:t>
      </w:r>
      <w:r>
        <w:rPr>
          <w:rFonts w:hint="default" w:ascii="Times New Roman" w:hAnsi="Times New Roman" w:eastAsia="仿宋_GB2312" w:cs="Times New Roman"/>
          <w:sz w:val="32"/>
          <w:szCs w:val="32"/>
          <w:lang w:eastAsia="zh-CN"/>
        </w:rPr>
        <w:t>广西靖西梁鹏食品有限公司</w:t>
      </w:r>
      <w:r>
        <w:rPr>
          <w:rFonts w:hint="default" w:ascii="Times New Roman" w:hAnsi="Times New Roman" w:eastAsia="仿宋_GB2312" w:cs="Times New Roman"/>
          <w:sz w:val="32"/>
          <w:szCs w:val="32"/>
        </w:rPr>
        <w:t>加工生产，共10个批次。</w:t>
      </w:r>
    </w:p>
    <w:p w14:paraId="2F0E9B4B">
      <w:pPr>
        <w:keepNext w:val="0"/>
        <w:keepLines w:val="0"/>
        <w:pageBreakBefore w:val="0"/>
        <w:widowControl w:val="0"/>
        <w:kinsoku/>
        <w:wordWrap/>
        <w:overflowPunct/>
        <w:topLinePunct w:val="0"/>
        <w:autoSpaceDE/>
        <w:autoSpaceDN/>
        <w:bidi w:val="0"/>
        <w:adjustRightInd w:val="0"/>
        <w:snapToGrid w:val="0"/>
        <w:spacing w:line="560" w:lineRule="exact"/>
        <w:ind w:firstLine="640"/>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表1  不同批次</w:t>
      </w:r>
      <w:r>
        <w:rPr>
          <w:rFonts w:hint="eastAsia" w:ascii="Times New Roman" w:hAnsi="Times New Roman" w:cs="Times New Roman"/>
          <w:sz w:val="32"/>
          <w:szCs w:val="32"/>
          <w:lang w:val="en-US" w:eastAsia="zh-CN"/>
        </w:rPr>
        <w:t>大果山楂原汁</w:t>
      </w:r>
      <w:r>
        <w:rPr>
          <w:rFonts w:hint="default" w:ascii="Times New Roman" w:hAnsi="Times New Roman" w:eastAsia="仿宋_GB2312" w:cs="Times New Roman"/>
          <w:sz w:val="32"/>
          <w:szCs w:val="32"/>
        </w:rPr>
        <w:t>样品来源信息</w:t>
      </w:r>
    </w:p>
    <w:tbl>
      <w:tblPr>
        <w:tblStyle w:val="4"/>
        <w:tblW w:w="7054" w:type="dxa"/>
        <w:jc w:val="center"/>
        <w:tblLayout w:type="fixed"/>
        <w:tblCellMar>
          <w:top w:w="0" w:type="dxa"/>
          <w:left w:w="108" w:type="dxa"/>
          <w:bottom w:w="0" w:type="dxa"/>
          <w:right w:w="108" w:type="dxa"/>
        </w:tblCellMar>
      </w:tblPr>
      <w:tblGrid>
        <w:gridCol w:w="1096"/>
        <w:gridCol w:w="5958"/>
      </w:tblGrid>
      <w:tr w14:paraId="332A550C">
        <w:tblPrEx>
          <w:tblCellMar>
            <w:top w:w="0" w:type="dxa"/>
            <w:left w:w="108" w:type="dxa"/>
            <w:bottom w:w="0" w:type="dxa"/>
            <w:right w:w="108" w:type="dxa"/>
          </w:tblCellMar>
        </w:tblPrEx>
        <w:trPr>
          <w:tblHeader/>
          <w:jc w:val="center"/>
        </w:trPr>
        <w:tc>
          <w:tcPr>
            <w:tcW w:w="1096" w:type="dxa"/>
            <w:tcBorders>
              <w:top w:val="single" w:color="auto" w:sz="4" w:space="0"/>
              <w:bottom w:val="single" w:color="auto" w:sz="4" w:space="0"/>
            </w:tcBorders>
            <w:noWrap w:val="0"/>
            <w:vAlign w:val="center"/>
          </w:tcPr>
          <w:p w14:paraId="57EE758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编号</w:t>
            </w:r>
          </w:p>
        </w:tc>
        <w:tc>
          <w:tcPr>
            <w:tcW w:w="5958" w:type="dxa"/>
            <w:tcBorders>
              <w:top w:val="single" w:color="auto" w:sz="4" w:space="0"/>
              <w:bottom w:val="single" w:color="auto" w:sz="4" w:space="0"/>
            </w:tcBorders>
            <w:noWrap w:val="0"/>
            <w:vAlign w:val="center"/>
          </w:tcPr>
          <w:p w14:paraId="21F08CB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来源</w:t>
            </w:r>
          </w:p>
        </w:tc>
      </w:tr>
      <w:tr w14:paraId="512435C2">
        <w:tblPrEx>
          <w:tblCellMar>
            <w:top w:w="0" w:type="dxa"/>
            <w:left w:w="108" w:type="dxa"/>
            <w:bottom w:w="0" w:type="dxa"/>
            <w:right w:w="108" w:type="dxa"/>
          </w:tblCellMar>
        </w:tblPrEx>
        <w:trPr>
          <w:jc w:val="center"/>
        </w:trPr>
        <w:tc>
          <w:tcPr>
            <w:tcW w:w="1096" w:type="dxa"/>
            <w:tcBorders>
              <w:top w:val="single" w:color="auto" w:sz="4" w:space="0"/>
            </w:tcBorders>
            <w:noWrap w:val="0"/>
            <w:vAlign w:val="center"/>
          </w:tcPr>
          <w:p w14:paraId="5592A04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IP-1</w:t>
            </w:r>
          </w:p>
        </w:tc>
        <w:tc>
          <w:tcPr>
            <w:tcW w:w="5958" w:type="dxa"/>
            <w:tcBorders>
              <w:top w:val="single" w:color="auto" w:sz="4" w:space="0"/>
            </w:tcBorders>
            <w:noWrap w:val="0"/>
            <w:vAlign w:val="center"/>
          </w:tcPr>
          <w:p w14:paraId="67588B4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eastAsia" w:ascii="Times New Roman" w:hAnsi="Times New Roman" w:cs="Times New Roman"/>
                <w:sz w:val="32"/>
                <w:szCs w:val="32"/>
                <w:lang w:eastAsia="zh-CN"/>
              </w:rPr>
              <w:t>广西靖西梁鹏食品有限公司</w:t>
            </w:r>
          </w:p>
        </w:tc>
      </w:tr>
      <w:tr w14:paraId="0FF89185">
        <w:tblPrEx>
          <w:tblCellMar>
            <w:top w:w="0" w:type="dxa"/>
            <w:left w:w="108" w:type="dxa"/>
            <w:bottom w:w="0" w:type="dxa"/>
            <w:right w:w="108" w:type="dxa"/>
          </w:tblCellMar>
        </w:tblPrEx>
        <w:trPr>
          <w:jc w:val="center"/>
        </w:trPr>
        <w:tc>
          <w:tcPr>
            <w:tcW w:w="1096" w:type="dxa"/>
            <w:noWrap w:val="0"/>
            <w:vAlign w:val="center"/>
          </w:tcPr>
          <w:p w14:paraId="58662A7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IP-2</w:t>
            </w:r>
          </w:p>
        </w:tc>
        <w:tc>
          <w:tcPr>
            <w:tcW w:w="5958" w:type="dxa"/>
            <w:noWrap w:val="0"/>
            <w:vAlign w:val="center"/>
          </w:tcPr>
          <w:p w14:paraId="7262451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eastAsia" w:ascii="Times New Roman" w:hAnsi="Times New Roman" w:cs="Times New Roman"/>
                <w:sz w:val="32"/>
                <w:szCs w:val="32"/>
                <w:lang w:eastAsia="zh-CN"/>
              </w:rPr>
              <w:t>广西靖西梁鹏食品有限公司</w:t>
            </w:r>
          </w:p>
        </w:tc>
      </w:tr>
      <w:tr w14:paraId="771FD00F">
        <w:tblPrEx>
          <w:tblCellMar>
            <w:top w:w="0" w:type="dxa"/>
            <w:left w:w="108" w:type="dxa"/>
            <w:bottom w:w="0" w:type="dxa"/>
            <w:right w:w="108" w:type="dxa"/>
          </w:tblCellMar>
        </w:tblPrEx>
        <w:trPr>
          <w:jc w:val="center"/>
        </w:trPr>
        <w:tc>
          <w:tcPr>
            <w:tcW w:w="1096" w:type="dxa"/>
            <w:noWrap w:val="0"/>
            <w:vAlign w:val="center"/>
          </w:tcPr>
          <w:p w14:paraId="70C829C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IP-3</w:t>
            </w:r>
          </w:p>
        </w:tc>
        <w:tc>
          <w:tcPr>
            <w:tcW w:w="5958" w:type="dxa"/>
            <w:noWrap w:val="0"/>
            <w:vAlign w:val="center"/>
          </w:tcPr>
          <w:p w14:paraId="7732A1F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eastAsia" w:ascii="Times New Roman" w:hAnsi="Times New Roman" w:cs="Times New Roman"/>
                <w:sz w:val="32"/>
                <w:szCs w:val="32"/>
                <w:lang w:eastAsia="zh-CN"/>
              </w:rPr>
              <w:t>广西靖西梁鹏食品有限公司</w:t>
            </w:r>
          </w:p>
        </w:tc>
      </w:tr>
      <w:tr w14:paraId="4BD6A499">
        <w:tblPrEx>
          <w:tblCellMar>
            <w:top w:w="0" w:type="dxa"/>
            <w:left w:w="108" w:type="dxa"/>
            <w:bottom w:w="0" w:type="dxa"/>
            <w:right w:w="108" w:type="dxa"/>
          </w:tblCellMar>
        </w:tblPrEx>
        <w:trPr>
          <w:jc w:val="center"/>
        </w:trPr>
        <w:tc>
          <w:tcPr>
            <w:tcW w:w="1096" w:type="dxa"/>
            <w:noWrap w:val="0"/>
            <w:vAlign w:val="center"/>
          </w:tcPr>
          <w:p w14:paraId="6754F8C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IP-4</w:t>
            </w:r>
          </w:p>
        </w:tc>
        <w:tc>
          <w:tcPr>
            <w:tcW w:w="5958" w:type="dxa"/>
            <w:noWrap w:val="0"/>
            <w:vAlign w:val="center"/>
          </w:tcPr>
          <w:p w14:paraId="509229A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eastAsia" w:ascii="Times New Roman" w:hAnsi="Times New Roman" w:cs="Times New Roman"/>
                <w:sz w:val="32"/>
                <w:szCs w:val="32"/>
                <w:lang w:eastAsia="zh-CN"/>
              </w:rPr>
              <w:t>广西靖西梁鹏食品有限公司</w:t>
            </w:r>
          </w:p>
        </w:tc>
      </w:tr>
      <w:tr w14:paraId="7C7BFA14">
        <w:tblPrEx>
          <w:tblCellMar>
            <w:top w:w="0" w:type="dxa"/>
            <w:left w:w="108" w:type="dxa"/>
            <w:bottom w:w="0" w:type="dxa"/>
            <w:right w:w="108" w:type="dxa"/>
          </w:tblCellMar>
        </w:tblPrEx>
        <w:trPr>
          <w:jc w:val="center"/>
        </w:trPr>
        <w:tc>
          <w:tcPr>
            <w:tcW w:w="1096" w:type="dxa"/>
            <w:noWrap w:val="0"/>
            <w:vAlign w:val="center"/>
          </w:tcPr>
          <w:p w14:paraId="05F1BD6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IP-5</w:t>
            </w:r>
          </w:p>
        </w:tc>
        <w:tc>
          <w:tcPr>
            <w:tcW w:w="5958" w:type="dxa"/>
            <w:noWrap w:val="0"/>
            <w:vAlign w:val="center"/>
          </w:tcPr>
          <w:p w14:paraId="60F0131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eastAsia" w:ascii="Times New Roman" w:hAnsi="Times New Roman" w:cs="Times New Roman"/>
                <w:sz w:val="32"/>
                <w:szCs w:val="32"/>
                <w:lang w:eastAsia="zh-CN"/>
              </w:rPr>
              <w:t>广西靖西梁鹏食品有限公司</w:t>
            </w:r>
          </w:p>
        </w:tc>
      </w:tr>
      <w:tr w14:paraId="1C4CE8E9">
        <w:tblPrEx>
          <w:tblCellMar>
            <w:top w:w="0" w:type="dxa"/>
            <w:left w:w="108" w:type="dxa"/>
            <w:bottom w:w="0" w:type="dxa"/>
            <w:right w:w="108" w:type="dxa"/>
          </w:tblCellMar>
        </w:tblPrEx>
        <w:trPr>
          <w:jc w:val="center"/>
        </w:trPr>
        <w:tc>
          <w:tcPr>
            <w:tcW w:w="1096" w:type="dxa"/>
            <w:noWrap w:val="0"/>
            <w:vAlign w:val="center"/>
          </w:tcPr>
          <w:p w14:paraId="5983A1A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IP-6</w:t>
            </w:r>
          </w:p>
        </w:tc>
        <w:tc>
          <w:tcPr>
            <w:tcW w:w="5958" w:type="dxa"/>
            <w:noWrap w:val="0"/>
            <w:vAlign w:val="center"/>
          </w:tcPr>
          <w:p w14:paraId="6A5775D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eastAsia" w:ascii="Times New Roman" w:hAnsi="Times New Roman" w:cs="Times New Roman"/>
                <w:sz w:val="32"/>
                <w:szCs w:val="32"/>
                <w:lang w:eastAsia="zh-CN"/>
              </w:rPr>
              <w:t>广西靖西梁鹏食品有限公司</w:t>
            </w:r>
          </w:p>
        </w:tc>
      </w:tr>
      <w:tr w14:paraId="42005841">
        <w:tblPrEx>
          <w:tblCellMar>
            <w:top w:w="0" w:type="dxa"/>
            <w:left w:w="108" w:type="dxa"/>
            <w:bottom w:w="0" w:type="dxa"/>
            <w:right w:w="108" w:type="dxa"/>
          </w:tblCellMar>
        </w:tblPrEx>
        <w:trPr>
          <w:jc w:val="center"/>
        </w:trPr>
        <w:tc>
          <w:tcPr>
            <w:tcW w:w="1096" w:type="dxa"/>
            <w:noWrap w:val="0"/>
            <w:vAlign w:val="center"/>
          </w:tcPr>
          <w:p w14:paraId="77D108C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IP-7</w:t>
            </w:r>
          </w:p>
        </w:tc>
        <w:tc>
          <w:tcPr>
            <w:tcW w:w="5958" w:type="dxa"/>
            <w:noWrap w:val="0"/>
            <w:vAlign w:val="center"/>
          </w:tcPr>
          <w:p w14:paraId="6E9A495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eastAsia" w:ascii="Times New Roman" w:hAnsi="Times New Roman" w:cs="Times New Roman"/>
                <w:sz w:val="32"/>
                <w:szCs w:val="32"/>
                <w:lang w:eastAsia="zh-CN"/>
              </w:rPr>
              <w:t>广西靖西梁鹏食品有限公司</w:t>
            </w:r>
          </w:p>
        </w:tc>
      </w:tr>
      <w:tr w14:paraId="0859734B">
        <w:tblPrEx>
          <w:tblCellMar>
            <w:top w:w="0" w:type="dxa"/>
            <w:left w:w="108" w:type="dxa"/>
            <w:bottom w:w="0" w:type="dxa"/>
            <w:right w:w="108" w:type="dxa"/>
          </w:tblCellMar>
        </w:tblPrEx>
        <w:trPr>
          <w:jc w:val="center"/>
        </w:trPr>
        <w:tc>
          <w:tcPr>
            <w:tcW w:w="1096" w:type="dxa"/>
            <w:noWrap w:val="0"/>
            <w:vAlign w:val="center"/>
          </w:tcPr>
          <w:p w14:paraId="36F3370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IP-8</w:t>
            </w:r>
          </w:p>
        </w:tc>
        <w:tc>
          <w:tcPr>
            <w:tcW w:w="5958" w:type="dxa"/>
            <w:noWrap w:val="0"/>
            <w:vAlign w:val="center"/>
          </w:tcPr>
          <w:p w14:paraId="2F03EBB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eastAsia" w:ascii="Times New Roman" w:hAnsi="Times New Roman" w:cs="Times New Roman"/>
                <w:sz w:val="32"/>
                <w:szCs w:val="32"/>
                <w:lang w:eastAsia="zh-CN"/>
              </w:rPr>
              <w:t>广西靖西梁鹏食品有限公司</w:t>
            </w:r>
          </w:p>
        </w:tc>
      </w:tr>
      <w:tr w14:paraId="2C38C004">
        <w:tblPrEx>
          <w:tblCellMar>
            <w:top w:w="0" w:type="dxa"/>
            <w:left w:w="108" w:type="dxa"/>
            <w:bottom w:w="0" w:type="dxa"/>
            <w:right w:w="108" w:type="dxa"/>
          </w:tblCellMar>
        </w:tblPrEx>
        <w:trPr>
          <w:jc w:val="center"/>
        </w:trPr>
        <w:tc>
          <w:tcPr>
            <w:tcW w:w="1096" w:type="dxa"/>
            <w:noWrap w:val="0"/>
            <w:vAlign w:val="center"/>
          </w:tcPr>
          <w:p w14:paraId="5788C21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IP-9</w:t>
            </w:r>
          </w:p>
        </w:tc>
        <w:tc>
          <w:tcPr>
            <w:tcW w:w="5958" w:type="dxa"/>
            <w:noWrap w:val="0"/>
            <w:vAlign w:val="center"/>
          </w:tcPr>
          <w:p w14:paraId="2266E07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eastAsia" w:ascii="Times New Roman" w:hAnsi="Times New Roman" w:cs="Times New Roman"/>
                <w:sz w:val="32"/>
                <w:szCs w:val="32"/>
                <w:lang w:eastAsia="zh-CN"/>
              </w:rPr>
              <w:t>广西靖西梁鹏食品有限公司</w:t>
            </w:r>
          </w:p>
        </w:tc>
      </w:tr>
      <w:tr w14:paraId="2754F320">
        <w:tblPrEx>
          <w:tblCellMar>
            <w:top w:w="0" w:type="dxa"/>
            <w:left w:w="108" w:type="dxa"/>
            <w:bottom w:w="0" w:type="dxa"/>
            <w:right w:w="108" w:type="dxa"/>
          </w:tblCellMar>
        </w:tblPrEx>
        <w:trPr>
          <w:jc w:val="center"/>
        </w:trPr>
        <w:tc>
          <w:tcPr>
            <w:tcW w:w="1096" w:type="dxa"/>
            <w:tcBorders>
              <w:bottom w:val="single" w:color="auto" w:sz="4" w:space="0"/>
            </w:tcBorders>
            <w:noWrap w:val="0"/>
            <w:vAlign w:val="center"/>
          </w:tcPr>
          <w:p w14:paraId="6F762E9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IP-10</w:t>
            </w:r>
          </w:p>
        </w:tc>
        <w:tc>
          <w:tcPr>
            <w:tcW w:w="5958" w:type="dxa"/>
            <w:tcBorders>
              <w:bottom w:val="single" w:color="auto" w:sz="4" w:space="0"/>
            </w:tcBorders>
            <w:noWrap w:val="0"/>
            <w:vAlign w:val="center"/>
          </w:tcPr>
          <w:p w14:paraId="5A4A685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eastAsia" w:ascii="Times New Roman" w:hAnsi="Times New Roman" w:cs="Times New Roman"/>
                <w:sz w:val="32"/>
                <w:szCs w:val="32"/>
                <w:lang w:eastAsia="zh-CN"/>
              </w:rPr>
              <w:t>广西靖西梁鹏食品有限公司</w:t>
            </w:r>
          </w:p>
        </w:tc>
      </w:tr>
    </w:tbl>
    <w:p w14:paraId="0088E14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Times New Roman" w:hAnsi="Times New Roman" w:eastAsia="仿宋_GB2312" w:cs="Times New Roman"/>
          <w:color w:val="000000"/>
          <w:spacing w:val="2"/>
          <w:sz w:val="32"/>
          <w:szCs w:val="32"/>
          <w:lang w:eastAsia="zh-CN"/>
        </w:rPr>
      </w:pPr>
    </w:p>
    <w:p w14:paraId="5DB3716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_GB2312" w:cs="Times New Roman"/>
          <w:color w:val="000000"/>
          <w:spacing w:val="2"/>
          <w:sz w:val="32"/>
          <w:szCs w:val="32"/>
          <w:lang w:eastAsia="zh-CN"/>
        </w:rPr>
      </w:pPr>
      <w:r>
        <w:rPr>
          <w:rFonts w:hint="eastAsia" w:ascii="Times New Roman" w:hAnsi="Times New Roman" w:eastAsia="仿宋_GB2312" w:cs="Times New Roman"/>
          <w:color w:val="000000"/>
          <w:spacing w:val="2"/>
          <w:sz w:val="32"/>
          <w:szCs w:val="32"/>
          <w:lang w:eastAsia="zh-CN"/>
        </w:rPr>
        <w:drawing>
          <wp:inline distT="0" distB="0" distL="114300" distR="114300">
            <wp:extent cx="2734945" cy="1824990"/>
            <wp:effectExtent l="0" t="0" r="8255" b="3810"/>
            <wp:docPr id="4" name="图片 4" descr="IMG_8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8493"/>
                    <pic:cNvPicPr>
                      <a:picLocks noChangeAspect="1"/>
                    </pic:cNvPicPr>
                  </pic:nvPicPr>
                  <pic:blipFill>
                    <a:blip r:embed="rId7"/>
                    <a:stretch>
                      <a:fillRect/>
                    </a:stretch>
                  </pic:blipFill>
                  <pic:spPr>
                    <a:xfrm>
                      <a:off x="0" y="0"/>
                      <a:ext cx="2734945" cy="1824990"/>
                    </a:xfrm>
                    <a:prstGeom prst="rect">
                      <a:avLst/>
                    </a:prstGeom>
                  </pic:spPr>
                </pic:pic>
              </a:graphicData>
            </a:graphic>
          </wp:inline>
        </w:drawing>
      </w:r>
      <w:r>
        <w:rPr>
          <w:rFonts w:hint="eastAsia" w:ascii="Times New Roman" w:hAnsi="Times New Roman" w:cs="Times New Roman"/>
          <w:color w:val="000000"/>
          <w:spacing w:val="2"/>
          <w:sz w:val="32"/>
          <w:szCs w:val="32"/>
          <w:lang w:val="en-US" w:eastAsia="zh-CN"/>
        </w:rPr>
        <w:t xml:space="preserve"> </w:t>
      </w:r>
      <w:r>
        <w:rPr>
          <w:rFonts w:hint="eastAsia" w:ascii="Times New Roman" w:hAnsi="Times New Roman" w:eastAsia="仿宋_GB2312" w:cs="Times New Roman"/>
          <w:color w:val="000000"/>
          <w:spacing w:val="2"/>
          <w:sz w:val="32"/>
          <w:szCs w:val="32"/>
          <w:lang w:eastAsia="zh-CN"/>
        </w:rPr>
        <w:drawing>
          <wp:inline distT="0" distB="0" distL="114300" distR="114300">
            <wp:extent cx="2734945" cy="1824990"/>
            <wp:effectExtent l="0" t="0" r="8255" b="3810"/>
            <wp:docPr id="5" name="图片 5" descr="IMG_8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8483"/>
                    <pic:cNvPicPr>
                      <a:picLocks noChangeAspect="1"/>
                    </pic:cNvPicPr>
                  </pic:nvPicPr>
                  <pic:blipFill>
                    <a:blip r:embed="rId8"/>
                    <a:stretch>
                      <a:fillRect/>
                    </a:stretch>
                  </pic:blipFill>
                  <pic:spPr>
                    <a:xfrm>
                      <a:off x="0" y="0"/>
                      <a:ext cx="2734945" cy="1824990"/>
                    </a:xfrm>
                    <a:prstGeom prst="rect">
                      <a:avLst/>
                    </a:prstGeom>
                  </pic:spPr>
                </pic:pic>
              </a:graphicData>
            </a:graphic>
          </wp:inline>
        </w:drawing>
      </w:r>
    </w:p>
    <w:p w14:paraId="5DA9216A">
      <w:pPr>
        <w:keepNext w:val="0"/>
        <w:keepLines w:val="0"/>
        <w:pageBreakBefore w:val="0"/>
        <w:widowControl w:val="0"/>
        <w:kinsoku/>
        <w:wordWrap/>
        <w:overflowPunct/>
        <w:topLinePunct w:val="0"/>
        <w:autoSpaceDE/>
        <w:autoSpaceDN/>
        <w:bidi w:val="0"/>
        <w:adjustRightInd w:val="0"/>
        <w:snapToGrid w:val="0"/>
        <w:spacing w:line="240" w:lineRule="auto"/>
        <w:ind w:firstLine="430" w:firstLineChars="200"/>
        <w:textAlignment w:val="auto"/>
        <w:rPr>
          <w:rFonts w:hint="default" w:ascii="Times New Roman" w:hAnsi="Times New Roman" w:eastAsia="仿宋_GB2312" w:cs="Times New Roman"/>
          <w:b/>
          <w:bCs/>
          <w:color w:val="000000"/>
          <w:spacing w:val="2"/>
          <w:sz w:val="21"/>
          <w:szCs w:val="21"/>
          <w:lang w:val="en-US" w:eastAsia="zh-CN"/>
        </w:rPr>
      </w:pPr>
      <w:r>
        <w:rPr>
          <w:rFonts w:hint="eastAsia" w:ascii="Times New Roman" w:hAnsi="Times New Roman" w:cs="Times New Roman"/>
          <w:b/>
          <w:bCs/>
          <w:color w:val="000000"/>
          <w:spacing w:val="2"/>
          <w:sz w:val="21"/>
          <w:szCs w:val="21"/>
          <w:lang w:val="en-US" w:eastAsia="zh-CN"/>
        </w:rPr>
        <w:t>图3  检测大果山楂原汁各项指标检测           图4  大果山楂原汁生产设备</w:t>
      </w:r>
    </w:p>
    <w:p w14:paraId="6C9DBF29">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（一）原料要求</w:t>
      </w:r>
    </w:p>
    <w:p w14:paraId="016A121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cs="Times New Roman"/>
          <w:sz w:val="32"/>
          <w:szCs w:val="32"/>
          <w:lang w:val="en-US" w:eastAsia="zh-CN"/>
        </w:rPr>
        <w:t>为</w:t>
      </w:r>
      <w:r>
        <w:rPr>
          <w:rFonts w:hint="default" w:ascii="Times New Roman" w:hAnsi="Times New Roman" w:eastAsia="仿宋_GB2312" w:cs="Times New Roman"/>
          <w:sz w:val="32"/>
          <w:szCs w:val="32"/>
        </w:rPr>
        <w:t>保证果实含有足够的营养成分与风味物质，又能避免因过度成熟导致的果实软烂、变质风险，参考</w:t>
      </w:r>
      <w:r>
        <w:rPr>
          <w:rFonts w:hint="eastAsia" w:ascii="Times New Roman" w:hAnsi="Times New Roman" w:cs="Times New Roman"/>
          <w:sz w:val="32"/>
          <w:szCs w:val="32"/>
          <w:lang w:eastAsia="zh-CN"/>
        </w:rPr>
        <w:t>《DB45/T 1634-2017大果山楂生产技术规程》</w:t>
      </w:r>
      <w:r>
        <w:rPr>
          <w:rFonts w:hint="default" w:ascii="Times New Roman" w:hAnsi="Times New Roman" w:eastAsia="仿宋_GB2312" w:cs="Times New Roman"/>
          <w:sz w:val="32"/>
          <w:szCs w:val="32"/>
        </w:rPr>
        <w:t>中对大果山楂果实采收的成熟度等方面有相关规定，结合企业实际生产经验，规定</w:t>
      </w:r>
      <w:r>
        <w:rPr>
          <w:rFonts w:hint="eastAsia" w:ascii="Times New Roman" w:hAnsi="Times New Roman" w:cs="Times New Roman"/>
          <w:sz w:val="32"/>
          <w:szCs w:val="32"/>
          <w:lang w:val="en-US" w:eastAsia="zh-CN"/>
        </w:rPr>
        <w:t>需选取</w:t>
      </w:r>
      <w:r>
        <w:rPr>
          <w:rFonts w:hint="eastAsia"/>
        </w:rPr>
        <w:t>新鲜、外观良好、风味正常、无病虫害及腐烂，且成熟度达</w:t>
      </w:r>
      <w:r>
        <w:rPr>
          <w:rFonts w:hint="default" w:ascii="Times New Roman" w:hAnsi="Times New Roman" w:cs="Times New Roman"/>
        </w:rPr>
        <w:t>8</w:t>
      </w:r>
      <w:r>
        <w:rPr>
          <w:rFonts w:hint="eastAsia"/>
        </w:rPr>
        <w:t>成以上的果实</w:t>
      </w:r>
      <w:r>
        <w:rPr>
          <w:rFonts w:hint="default" w:ascii="Times New Roman" w:hAnsi="Times New Roman" w:eastAsia="仿宋_GB2312" w:cs="Times New Roman"/>
          <w:sz w:val="32"/>
          <w:szCs w:val="32"/>
        </w:rPr>
        <w:t>，确保原料</w:t>
      </w:r>
      <w:r>
        <w:rPr>
          <w:rFonts w:hint="eastAsia" w:ascii="Times New Roman" w:hAnsi="Times New Roman" w:cs="Times New Roman"/>
          <w:sz w:val="32"/>
          <w:szCs w:val="32"/>
          <w:lang w:val="en-US" w:eastAsia="zh-CN"/>
        </w:rPr>
        <w:t>品质</w:t>
      </w:r>
      <w:r>
        <w:rPr>
          <w:rFonts w:hint="default" w:ascii="Times New Roman" w:hAnsi="Times New Roman" w:eastAsia="仿宋_GB2312" w:cs="Times New Roman"/>
          <w:sz w:val="32"/>
          <w:szCs w:val="32"/>
        </w:rPr>
        <w:t>统一。</w:t>
      </w:r>
    </w:p>
    <w:p w14:paraId="72717F30">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lang w:eastAsia="zh-CN"/>
        </w:rPr>
        <w:t>）生产环境</w:t>
      </w:r>
    </w:p>
    <w:p w14:paraId="2289F0D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为使原料筛选、加工流程的标准化，防止</w:t>
      </w:r>
      <w:r>
        <w:rPr>
          <w:rFonts w:hint="eastAsia" w:ascii="Times New Roman" w:hAnsi="Times New Roman" w:cs="Times New Roman"/>
          <w:sz w:val="32"/>
          <w:szCs w:val="32"/>
          <w:lang w:val="en-US" w:eastAsia="zh-CN"/>
        </w:rPr>
        <w:t>环境因素</w:t>
      </w:r>
      <w:r>
        <w:rPr>
          <w:rFonts w:hint="default" w:ascii="Times New Roman" w:hAnsi="Times New Roman" w:eastAsia="仿宋_GB2312" w:cs="Times New Roman"/>
          <w:sz w:val="32"/>
          <w:szCs w:val="32"/>
          <w:lang w:val="en-US" w:eastAsia="zh-CN"/>
        </w:rPr>
        <w:t>影响产品</w:t>
      </w:r>
      <w:r>
        <w:rPr>
          <w:rFonts w:hint="eastAsia" w:ascii="Times New Roman" w:hAnsi="Times New Roman" w:cs="Times New Roman"/>
          <w:sz w:val="32"/>
          <w:szCs w:val="32"/>
          <w:lang w:val="en-US" w:eastAsia="zh-CN"/>
        </w:rPr>
        <w:t>品质</w:t>
      </w:r>
      <w:r>
        <w:rPr>
          <w:rFonts w:hint="default" w:ascii="Times New Roman" w:hAnsi="Times New Roman" w:eastAsia="仿宋_GB2312" w:cs="Times New Roman"/>
          <w:sz w:val="32"/>
          <w:szCs w:val="32"/>
          <w:lang w:val="en-US" w:eastAsia="zh-CN"/>
        </w:rPr>
        <w:t>，规定</w:t>
      </w:r>
      <w:r>
        <w:rPr>
          <w:rFonts w:hint="eastAsia" w:ascii="Times New Roman" w:hAnsi="Times New Roman"/>
          <w:kern w:val="0"/>
        </w:rPr>
        <w:t>生产环境应符合GB 14881的规定</w:t>
      </w:r>
      <w:r>
        <w:rPr>
          <w:rFonts w:hint="default" w:ascii="Times New Roman" w:hAnsi="Times New Roman" w:eastAsia="仿宋_GB2312" w:cs="Times New Roman"/>
          <w:sz w:val="32"/>
          <w:szCs w:val="32"/>
          <w:lang w:val="en-US" w:eastAsia="zh-CN"/>
        </w:rPr>
        <w:t>。</w:t>
      </w:r>
    </w:p>
    <w:p w14:paraId="7C335175">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三</w:t>
      </w:r>
      <w:r>
        <w:rPr>
          <w:rFonts w:hint="eastAsia" w:ascii="楷体_GB2312" w:hAnsi="楷体_GB2312" w:eastAsia="楷体_GB2312" w:cs="楷体_GB2312"/>
          <w:b/>
          <w:bCs/>
          <w:sz w:val="32"/>
          <w:szCs w:val="32"/>
          <w:lang w:eastAsia="zh-CN"/>
        </w:rPr>
        <w:t>）加工过程</w:t>
      </w:r>
    </w:p>
    <w:p w14:paraId="28AAEC3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参考相关水果加工标准及行业普遍做法，</w:t>
      </w:r>
      <w:r>
        <w:rPr>
          <w:rFonts w:hint="eastAsia" w:ascii="Times New Roman" w:hAnsi="Times New Roman" w:cs="Times New Roman"/>
          <w:sz w:val="32"/>
          <w:szCs w:val="32"/>
          <w:lang w:val="en-US" w:eastAsia="zh-CN"/>
        </w:rPr>
        <w:t>同时考虑到</w:t>
      </w:r>
      <w:r>
        <w:rPr>
          <w:rFonts w:hint="default" w:ascii="Times New Roman" w:hAnsi="Times New Roman" w:eastAsia="仿宋_GB2312" w:cs="Times New Roman"/>
          <w:sz w:val="32"/>
          <w:szCs w:val="32"/>
        </w:rPr>
        <w:t>最大程度保留大果山楂的营养成分和风味物质</w:t>
      </w:r>
      <w:r>
        <w:rPr>
          <w:rFonts w:hint="eastAsia" w:ascii="Times New Roman" w:hAnsi="Times New Roman" w:cs="Times New Roman"/>
          <w:sz w:val="32"/>
          <w:szCs w:val="32"/>
          <w:lang w:val="en-US" w:eastAsia="zh-CN"/>
        </w:rPr>
        <w:t>的需求</w:t>
      </w:r>
      <w:r>
        <w:rPr>
          <w:rFonts w:hint="default" w:ascii="Times New Roman" w:hAnsi="Times New Roman" w:eastAsia="仿宋_GB2312" w:cs="Times New Roman"/>
          <w:sz w:val="32"/>
          <w:szCs w:val="32"/>
        </w:rPr>
        <w:t>，</w:t>
      </w:r>
      <w:r>
        <w:rPr>
          <w:rFonts w:hint="eastAsia" w:ascii="Times New Roman" w:hAnsi="Times New Roman" w:cs="Times New Roman"/>
          <w:sz w:val="32"/>
          <w:szCs w:val="32"/>
          <w:lang w:val="en-US" w:eastAsia="zh-CN"/>
        </w:rPr>
        <w:t>规定技工工艺为:选果→清洗→烫漂（或不烫漂）→冷却→压榨→山楂原果汁→包装→冷藏</w:t>
      </w:r>
      <w:r>
        <w:rPr>
          <w:rFonts w:hint="default" w:ascii="Times New Roman" w:hAnsi="Times New Roman" w:eastAsia="仿宋_GB2312" w:cs="Times New Roman"/>
          <w:sz w:val="32"/>
          <w:szCs w:val="32"/>
        </w:rPr>
        <w:t>。</w:t>
      </w:r>
    </w:p>
    <w:p w14:paraId="79559A89">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四</w:t>
      </w:r>
      <w:r>
        <w:rPr>
          <w:rFonts w:hint="eastAsia" w:ascii="楷体_GB2312" w:hAnsi="楷体_GB2312" w:eastAsia="楷体_GB2312" w:cs="楷体_GB2312"/>
          <w:b/>
          <w:bCs/>
          <w:sz w:val="32"/>
          <w:szCs w:val="32"/>
          <w:lang w:eastAsia="zh-CN"/>
        </w:rPr>
        <w:t>）感官指标</w:t>
      </w:r>
    </w:p>
    <w:p w14:paraId="749167E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大果山楂本身含有丰富的天然色素，在正常加工过程中，其汁液应呈现出特定的色泽范围。通过对不同批次大果山楂原汁的观察以及参考同类果汁产品的色泽标准，</w:t>
      </w:r>
      <w:r>
        <w:rPr>
          <w:rFonts w:hint="eastAsia" w:ascii="Times New Roman" w:hAnsi="Times New Roman" w:cs="Times New Roman"/>
          <w:sz w:val="32"/>
          <w:szCs w:val="32"/>
          <w:lang w:val="en-US" w:eastAsia="zh-CN"/>
        </w:rPr>
        <w:t>规定大果山楂原汁色泽为均匀一致的淡黄色，组织形态为透明或半透明液体、无明显沉淀</w:t>
      </w:r>
      <w:r>
        <w:rPr>
          <w:rFonts w:hint="default" w:ascii="Times New Roman" w:hAnsi="Times New Roman" w:eastAsia="仿宋_GB2312" w:cs="Times New Roman"/>
          <w:sz w:val="32"/>
          <w:szCs w:val="32"/>
        </w:rPr>
        <w:t>。</w:t>
      </w:r>
    </w:p>
    <w:p w14:paraId="326AA18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大果山楂含有多种风味物质，赋予其独特的酸甜滋味和香气。在加工过程中，</w:t>
      </w:r>
      <w:r>
        <w:rPr>
          <w:rFonts w:hint="eastAsia" w:ascii="Times New Roman" w:hAnsi="Times New Roman" w:cs="Times New Roman"/>
          <w:sz w:val="32"/>
          <w:szCs w:val="32"/>
          <w:lang w:val="en-US" w:eastAsia="zh-CN"/>
        </w:rPr>
        <w:t>压榨加工工艺最大程度</w:t>
      </w:r>
      <w:r>
        <w:rPr>
          <w:rFonts w:hint="default" w:ascii="Times New Roman" w:hAnsi="Times New Roman" w:eastAsia="仿宋_GB2312" w:cs="Times New Roman"/>
          <w:sz w:val="32"/>
          <w:szCs w:val="32"/>
        </w:rPr>
        <w:t>保留</w:t>
      </w:r>
      <w:r>
        <w:rPr>
          <w:rFonts w:hint="eastAsia" w:ascii="Times New Roman" w:hAnsi="Times New Roman" w:cs="Times New Roman"/>
          <w:sz w:val="32"/>
          <w:szCs w:val="32"/>
          <w:lang w:eastAsia="zh-CN"/>
        </w:rPr>
        <w:t>了</w:t>
      </w:r>
      <w:r>
        <w:rPr>
          <w:rFonts w:hint="default" w:ascii="Times New Roman" w:hAnsi="Times New Roman" w:eastAsia="仿宋_GB2312" w:cs="Times New Roman"/>
          <w:sz w:val="32"/>
          <w:szCs w:val="32"/>
        </w:rPr>
        <w:t>这些天然风味</w:t>
      </w:r>
      <w:r>
        <w:rPr>
          <w:rFonts w:hint="eastAsia" w:ascii="Times New Roman" w:hAnsi="Times New Roman" w:cs="Times New Roman"/>
          <w:sz w:val="32"/>
          <w:szCs w:val="32"/>
          <w:lang w:eastAsia="zh-CN"/>
        </w:rPr>
        <w:t>，</w:t>
      </w:r>
      <w:r>
        <w:rPr>
          <w:rFonts w:hint="eastAsia" w:ascii="Times New Roman" w:hAnsi="Times New Roman" w:cs="Times New Roman"/>
          <w:sz w:val="32"/>
          <w:szCs w:val="32"/>
          <w:lang w:val="en-US" w:eastAsia="zh-CN"/>
        </w:rPr>
        <w:t>通过品尝</w:t>
      </w:r>
      <w:r>
        <w:rPr>
          <w:rFonts w:hint="default" w:ascii="Times New Roman" w:hAnsi="Times New Roman" w:eastAsia="仿宋_GB2312" w:cs="Times New Roman"/>
          <w:sz w:val="32"/>
          <w:szCs w:val="32"/>
        </w:rPr>
        <w:t>和嗅闻，结合消费者对该产品风味的普遍认知，</w:t>
      </w:r>
      <w:r>
        <w:rPr>
          <w:rFonts w:hint="eastAsia" w:ascii="Times New Roman" w:hAnsi="Times New Roman" w:cs="Times New Roman"/>
          <w:sz w:val="32"/>
          <w:szCs w:val="32"/>
          <w:lang w:val="en-US" w:eastAsia="zh-CN"/>
        </w:rPr>
        <w:t>规定大果山楂原汁滋味与气味应具有大果山楂应有的风味，甜酸适口，无异味</w:t>
      </w:r>
      <w:r>
        <w:rPr>
          <w:rFonts w:hint="default" w:ascii="Times New Roman" w:hAnsi="Times New Roman" w:eastAsia="仿宋_GB2312" w:cs="Times New Roman"/>
          <w:sz w:val="32"/>
          <w:szCs w:val="32"/>
        </w:rPr>
        <w:t>。</w:t>
      </w:r>
    </w:p>
    <w:p w14:paraId="4D439BA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通过对生产工艺的控制以及</w:t>
      </w:r>
      <w:r>
        <w:rPr>
          <w:rFonts w:hint="default" w:ascii="Times New Roman" w:hAnsi="Times New Roman" w:eastAsia="仿宋_GB2312" w:cs="Times New Roman"/>
          <w:sz w:val="32"/>
          <w:szCs w:val="32"/>
        </w:rPr>
        <w:t>对产品外观状态的观察和分析，</w:t>
      </w:r>
      <w:r>
        <w:rPr>
          <w:rFonts w:hint="eastAsia" w:ascii="Times New Roman" w:hAnsi="Times New Roman" w:cs="Times New Roman"/>
          <w:sz w:val="32"/>
          <w:szCs w:val="32"/>
          <w:lang w:val="en-US" w:eastAsia="zh-CN"/>
        </w:rPr>
        <w:t>规定大果山楂原汁应无肉眼可见外来杂质。</w:t>
      </w:r>
    </w:p>
    <w:p w14:paraId="03A51E2F">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（五）理化指标</w:t>
      </w:r>
    </w:p>
    <w:p w14:paraId="2D8BFDB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1.可溶性固形物（20℃时折光法计）</w:t>
      </w:r>
    </w:p>
    <w:p w14:paraId="530E8F63">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rPr>
        <w:t>表</w:t>
      </w:r>
      <w:r>
        <w:rPr>
          <w:rFonts w:hint="default" w:ascii="Times New Roman" w:hAnsi="Times New Roman" w:eastAsia="仿宋_GB2312" w:cs="Times New Roman"/>
          <w:sz w:val="28"/>
          <w:szCs w:val="28"/>
          <w:lang w:val="en-US" w:eastAsia="zh-CN"/>
        </w:rPr>
        <w:t>2</w:t>
      </w:r>
      <w:r>
        <w:rPr>
          <w:rFonts w:hint="default" w:ascii="Times New Roman" w:hAnsi="Times New Roman" w:eastAsia="仿宋_GB2312" w:cs="Times New Roman"/>
          <w:sz w:val="28"/>
          <w:szCs w:val="28"/>
        </w:rPr>
        <w:t xml:space="preserve">  不同批次</w:t>
      </w:r>
      <w:r>
        <w:rPr>
          <w:rFonts w:hint="eastAsia" w:ascii="Times New Roman" w:hAnsi="Times New Roman" w:cs="Times New Roman"/>
          <w:sz w:val="28"/>
          <w:szCs w:val="28"/>
          <w:lang w:val="en-US" w:eastAsia="zh-CN"/>
        </w:rPr>
        <w:t>大果山楂原汁可溶性固形物（20℃）含量</w:t>
      </w:r>
    </w:p>
    <w:tbl>
      <w:tblPr>
        <w:tblStyle w:val="4"/>
        <w:tblW w:w="7390" w:type="dxa"/>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428"/>
        <w:gridCol w:w="4962"/>
      </w:tblGrid>
      <w:tr w14:paraId="41E1FF5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28" w:type="dxa"/>
            <w:tcBorders>
              <w:top w:val="single" w:color="auto" w:sz="4" w:space="0"/>
            </w:tcBorders>
            <w:noWrap w:val="0"/>
            <w:vAlign w:val="center"/>
          </w:tcPr>
          <w:p w14:paraId="7955B86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编号</w:t>
            </w:r>
          </w:p>
        </w:tc>
        <w:tc>
          <w:tcPr>
            <w:tcW w:w="4962" w:type="dxa"/>
            <w:tcBorders>
              <w:top w:val="single" w:color="auto" w:sz="4" w:space="0"/>
            </w:tcBorders>
            <w:noWrap w:val="0"/>
            <w:vAlign w:val="center"/>
          </w:tcPr>
          <w:p w14:paraId="183038A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lang w:val="en-US" w:eastAsia="zh-CN"/>
              </w:rPr>
            </w:pPr>
            <w:r>
              <w:rPr>
                <w:rFonts w:hint="default" w:ascii="Times New Roman" w:hAnsi="Times New Roman" w:cs="Times New Roman"/>
                <w:sz w:val="28"/>
                <w:szCs w:val="28"/>
                <w:lang w:val="en-US" w:eastAsia="zh-CN"/>
              </w:rPr>
              <w:t>可溶性固形物（20℃）</w:t>
            </w:r>
            <w:r>
              <w:rPr>
                <w:rFonts w:hint="eastAsia" w:ascii="Times New Roman" w:hAnsi="Times New Roman" w:cs="Times New Roman"/>
                <w:sz w:val="28"/>
                <w:szCs w:val="28"/>
                <w:lang w:val="en-US" w:eastAsia="zh-CN"/>
              </w:rPr>
              <w:t>%</w:t>
            </w:r>
          </w:p>
        </w:tc>
      </w:tr>
      <w:tr w14:paraId="49DC58B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noWrap w:val="0"/>
            <w:vAlign w:val="center"/>
          </w:tcPr>
          <w:p w14:paraId="02D41D9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IP-1</w:t>
            </w:r>
          </w:p>
        </w:tc>
        <w:tc>
          <w:tcPr>
            <w:tcW w:w="4962" w:type="dxa"/>
            <w:noWrap w:val="0"/>
            <w:vAlign w:val="center"/>
          </w:tcPr>
          <w:p w14:paraId="2BB2AAA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eastAsia="zh-CN"/>
              </w:rPr>
            </w:pPr>
            <w:r>
              <w:rPr>
                <w:rFonts w:hint="default" w:ascii="Times New Roman" w:hAnsi="Times New Roman" w:eastAsia="宋体" w:cs="Times New Roman"/>
                <w:i w:val="0"/>
                <w:iCs w:val="0"/>
                <w:color w:val="000000"/>
                <w:kern w:val="0"/>
                <w:sz w:val="28"/>
                <w:szCs w:val="28"/>
                <w:u w:val="none"/>
                <w:lang w:val="en-US" w:eastAsia="zh-CN" w:bidi="ar"/>
              </w:rPr>
              <w:t>16.8</w:t>
            </w:r>
          </w:p>
        </w:tc>
      </w:tr>
      <w:tr w14:paraId="730FDD2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tcBorders>
              <w:bottom w:val="single" w:color="auto" w:sz="4" w:space="0"/>
            </w:tcBorders>
            <w:noWrap w:val="0"/>
            <w:vAlign w:val="center"/>
          </w:tcPr>
          <w:p w14:paraId="086B32D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IP-2</w:t>
            </w:r>
          </w:p>
        </w:tc>
        <w:tc>
          <w:tcPr>
            <w:tcW w:w="4962" w:type="dxa"/>
            <w:tcBorders>
              <w:bottom w:val="single" w:color="auto" w:sz="4" w:space="0"/>
            </w:tcBorders>
            <w:noWrap w:val="0"/>
            <w:vAlign w:val="center"/>
          </w:tcPr>
          <w:p w14:paraId="5161598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eastAsia="zh-CN"/>
              </w:rPr>
            </w:pPr>
            <w:r>
              <w:rPr>
                <w:rFonts w:hint="default" w:ascii="Times New Roman" w:hAnsi="Times New Roman" w:eastAsia="宋体" w:cs="Times New Roman"/>
                <w:i w:val="0"/>
                <w:iCs w:val="0"/>
                <w:color w:val="000000"/>
                <w:kern w:val="0"/>
                <w:sz w:val="28"/>
                <w:szCs w:val="28"/>
                <w:u w:val="none"/>
                <w:lang w:val="en-US" w:eastAsia="zh-CN" w:bidi="ar"/>
              </w:rPr>
              <w:t>6.5</w:t>
            </w:r>
          </w:p>
        </w:tc>
      </w:tr>
      <w:tr w14:paraId="2D9EA84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tcBorders>
              <w:top w:val="single" w:color="auto" w:sz="4" w:space="0"/>
            </w:tcBorders>
            <w:noWrap w:val="0"/>
            <w:vAlign w:val="center"/>
          </w:tcPr>
          <w:p w14:paraId="2F8EF93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IP-3</w:t>
            </w:r>
          </w:p>
        </w:tc>
        <w:tc>
          <w:tcPr>
            <w:tcW w:w="4962" w:type="dxa"/>
            <w:tcBorders>
              <w:top w:val="single" w:color="auto" w:sz="4" w:space="0"/>
            </w:tcBorders>
            <w:noWrap w:val="0"/>
            <w:vAlign w:val="center"/>
          </w:tcPr>
          <w:p w14:paraId="4F88301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eastAsia="zh-CN"/>
              </w:rPr>
            </w:pPr>
            <w:r>
              <w:rPr>
                <w:rFonts w:hint="default" w:ascii="Times New Roman" w:hAnsi="Times New Roman" w:eastAsia="宋体" w:cs="Times New Roman"/>
                <w:i w:val="0"/>
                <w:iCs w:val="0"/>
                <w:color w:val="000000"/>
                <w:kern w:val="0"/>
                <w:sz w:val="28"/>
                <w:szCs w:val="28"/>
                <w:u w:val="none"/>
                <w:lang w:val="en-US" w:eastAsia="zh-CN" w:bidi="ar"/>
              </w:rPr>
              <w:t>12.2</w:t>
            </w:r>
          </w:p>
        </w:tc>
      </w:tr>
      <w:tr w14:paraId="4F1B342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noWrap w:val="0"/>
            <w:vAlign w:val="center"/>
          </w:tcPr>
          <w:p w14:paraId="0C85155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IP-4</w:t>
            </w:r>
          </w:p>
        </w:tc>
        <w:tc>
          <w:tcPr>
            <w:tcW w:w="4962" w:type="dxa"/>
            <w:noWrap w:val="0"/>
            <w:vAlign w:val="center"/>
          </w:tcPr>
          <w:p w14:paraId="41E87F2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eastAsia="zh-CN"/>
              </w:rPr>
            </w:pPr>
            <w:r>
              <w:rPr>
                <w:rFonts w:hint="default" w:ascii="Times New Roman" w:hAnsi="Times New Roman" w:eastAsia="宋体" w:cs="Times New Roman"/>
                <w:i w:val="0"/>
                <w:iCs w:val="0"/>
                <w:color w:val="000000"/>
                <w:kern w:val="0"/>
                <w:sz w:val="28"/>
                <w:szCs w:val="28"/>
                <w:u w:val="none"/>
                <w:lang w:val="en-US" w:eastAsia="zh-CN" w:bidi="ar"/>
              </w:rPr>
              <w:t>17.1</w:t>
            </w:r>
          </w:p>
        </w:tc>
      </w:tr>
      <w:tr w14:paraId="75D8FAB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noWrap w:val="0"/>
            <w:vAlign w:val="center"/>
          </w:tcPr>
          <w:p w14:paraId="65ED5A8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IP-5</w:t>
            </w:r>
          </w:p>
        </w:tc>
        <w:tc>
          <w:tcPr>
            <w:tcW w:w="4962" w:type="dxa"/>
            <w:noWrap w:val="0"/>
            <w:vAlign w:val="center"/>
          </w:tcPr>
          <w:p w14:paraId="5578B91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eastAsia="zh-CN"/>
              </w:rPr>
            </w:pPr>
            <w:r>
              <w:rPr>
                <w:rFonts w:hint="default" w:ascii="Times New Roman" w:hAnsi="Times New Roman" w:eastAsia="宋体" w:cs="Times New Roman"/>
                <w:i w:val="0"/>
                <w:iCs w:val="0"/>
                <w:color w:val="000000"/>
                <w:kern w:val="0"/>
                <w:sz w:val="28"/>
                <w:szCs w:val="28"/>
                <w:u w:val="none"/>
                <w:lang w:val="en-US" w:eastAsia="zh-CN" w:bidi="ar"/>
              </w:rPr>
              <w:t>18.2</w:t>
            </w:r>
          </w:p>
        </w:tc>
      </w:tr>
      <w:tr w14:paraId="6E5FDC4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noWrap w:val="0"/>
            <w:vAlign w:val="center"/>
          </w:tcPr>
          <w:p w14:paraId="1EB8351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IP-6</w:t>
            </w:r>
          </w:p>
        </w:tc>
        <w:tc>
          <w:tcPr>
            <w:tcW w:w="4962" w:type="dxa"/>
            <w:noWrap w:val="0"/>
            <w:vAlign w:val="center"/>
          </w:tcPr>
          <w:p w14:paraId="382C528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eastAsia="zh-CN"/>
              </w:rPr>
            </w:pPr>
            <w:r>
              <w:rPr>
                <w:rFonts w:hint="default" w:ascii="Times New Roman" w:hAnsi="Times New Roman" w:eastAsia="宋体" w:cs="Times New Roman"/>
                <w:i w:val="0"/>
                <w:iCs w:val="0"/>
                <w:color w:val="000000"/>
                <w:kern w:val="0"/>
                <w:sz w:val="28"/>
                <w:szCs w:val="28"/>
                <w:u w:val="none"/>
                <w:lang w:val="en-US" w:eastAsia="zh-CN" w:bidi="ar"/>
              </w:rPr>
              <w:t>8.5</w:t>
            </w:r>
          </w:p>
        </w:tc>
      </w:tr>
      <w:tr w14:paraId="37CEA1A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noWrap w:val="0"/>
            <w:vAlign w:val="center"/>
          </w:tcPr>
          <w:p w14:paraId="5A3968C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IP-7</w:t>
            </w:r>
          </w:p>
        </w:tc>
        <w:tc>
          <w:tcPr>
            <w:tcW w:w="4962" w:type="dxa"/>
            <w:noWrap w:val="0"/>
            <w:vAlign w:val="center"/>
          </w:tcPr>
          <w:p w14:paraId="209B0B9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eastAsia="zh-CN"/>
              </w:rPr>
            </w:pPr>
            <w:r>
              <w:rPr>
                <w:rFonts w:hint="default" w:ascii="Times New Roman" w:hAnsi="Times New Roman" w:eastAsia="宋体" w:cs="Times New Roman"/>
                <w:i w:val="0"/>
                <w:iCs w:val="0"/>
                <w:color w:val="000000"/>
                <w:kern w:val="0"/>
                <w:sz w:val="28"/>
                <w:szCs w:val="28"/>
                <w:u w:val="none"/>
                <w:lang w:val="en-US" w:eastAsia="zh-CN" w:bidi="ar"/>
              </w:rPr>
              <w:t>11.9</w:t>
            </w:r>
          </w:p>
        </w:tc>
      </w:tr>
      <w:tr w14:paraId="1A9FADA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noWrap w:val="0"/>
            <w:vAlign w:val="center"/>
          </w:tcPr>
          <w:p w14:paraId="034D77B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IP-8</w:t>
            </w:r>
          </w:p>
        </w:tc>
        <w:tc>
          <w:tcPr>
            <w:tcW w:w="4962" w:type="dxa"/>
            <w:noWrap w:val="0"/>
            <w:vAlign w:val="center"/>
          </w:tcPr>
          <w:p w14:paraId="1FEBDE6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eastAsia="zh-CN"/>
              </w:rPr>
            </w:pPr>
            <w:r>
              <w:rPr>
                <w:rFonts w:hint="default" w:ascii="Times New Roman" w:hAnsi="Times New Roman" w:eastAsia="宋体" w:cs="Times New Roman"/>
                <w:i w:val="0"/>
                <w:iCs w:val="0"/>
                <w:color w:val="000000"/>
                <w:kern w:val="0"/>
                <w:sz w:val="28"/>
                <w:szCs w:val="28"/>
                <w:u w:val="none"/>
                <w:lang w:val="en-US" w:eastAsia="zh-CN" w:bidi="ar"/>
              </w:rPr>
              <w:t>16.4</w:t>
            </w:r>
          </w:p>
        </w:tc>
      </w:tr>
      <w:tr w14:paraId="465312C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noWrap w:val="0"/>
            <w:vAlign w:val="center"/>
          </w:tcPr>
          <w:p w14:paraId="198DCCE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IP-9</w:t>
            </w:r>
          </w:p>
        </w:tc>
        <w:tc>
          <w:tcPr>
            <w:tcW w:w="4962" w:type="dxa"/>
            <w:noWrap w:val="0"/>
            <w:vAlign w:val="center"/>
          </w:tcPr>
          <w:p w14:paraId="1DEFD0C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eastAsia="zh-CN"/>
              </w:rPr>
            </w:pPr>
            <w:r>
              <w:rPr>
                <w:rFonts w:hint="default" w:ascii="Times New Roman" w:hAnsi="Times New Roman" w:eastAsia="宋体" w:cs="Times New Roman"/>
                <w:i w:val="0"/>
                <w:iCs w:val="0"/>
                <w:color w:val="000000"/>
                <w:kern w:val="0"/>
                <w:sz w:val="28"/>
                <w:szCs w:val="28"/>
                <w:u w:val="none"/>
                <w:lang w:val="en-US" w:eastAsia="zh-CN" w:bidi="ar"/>
              </w:rPr>
              <w:t>6.9</w:t>
            </w:r>
          </w:p>
        </w:tc>
      </w:tr>
      <w:tr w14:paraId="0B2FAA0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tcBorders>
              <w:bottom w:val="single" w:color="auto" w:sz="4" w:space="0"/>
            </w:tcBorders>
            <w:noWrap w:val="0"/>
            <w:vAlign w:val="center"/>
          </w:tcPr>
          <w:p w14:paraId="2111308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IP-10</w:t>
            </w:r>
          </w:p>
        </w:tc>
        <w:tc>
          <w:tcPr>
            <w:tcW w:w="4962" w:type="dxa"/>
            <w:tcBorders>
              <w:bottom w:val="single" w:color="auto" w:sz="4" w:space="0"/>
            </w:tcBorders>
            <w:noWrap w:val="0"/>
            <w:vAlign w:val="center"/>
          </w:tcPr>
          <w:p w14:paraId="3054B2C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eastAsia="zh-CN"/>
              </w:rPr>
            </w:pPr>
            <w:r>
              <w:rPr>
                <w:rFonts w:hint="default" w:ascii="Times New Roman" w:hAnsi="Times New Roman" w:eastAsia="宋体" w:cs="Times New Roman"/>
                <w:i w:val="0"/>
                <w:iCs w:val="0"/>
                <w:color w:val="000000"/>
                <w:kern w:val="0"/>
                <w:sz w:val="28"/>
                <w:szCs w:val="28"/>
                <w:u w:val="none"/>
                <w:lang w:val="en-US" w:eastAsia="zh-CN" w:bidi="ar"/>
              </w:rPr>
              <w:t>12.5</w:t>
            </w:r>
          </w:p>
        </w:tc>
      </w:tr>
    </w:tbl>
    <w:p w14:paraId="2C78B0E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可溶性固形物含量反映了大果山楂原汁中糖类、酸类、矿物质等可溶性物质的总量，是衡量产品品质的重要指标之一。通过对10个批次大果山楂原汁样品的检测分析，结合市场上同类果汁产品的可溶性固形物含量范围，确定该指标的下限值为≥5.0%，以保证产品具有一定的浓度和口感。</w:t>
      </w:r>
    </w:p>
    <w:p w14:paraId="1D6B8E3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2.总糖量（以葡萄糖计）</w:t>
      </w:r>
    </w:p>
    <w:p w14:paraId="37E13FFB">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jc w:val="center"/>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rPr>
        <w:t>表</w:t>
      </w:r>
      <w:r>
        <w:rPr>
          <w:rFonts w:hint="eastAsia" w:ascii="Times New Roman" w:hAnsi="Times New Roman" w:cs="Times New Roman"/>
          <w:sz w:val="28"/>
          <w:szCs w:val="28"/>
          <w:lang w:val="en-US" w:eastAsia="zh-CN"/>
        </w:rPr>
        <w:t>3</w:t>
      </w:r>
      <w:r>
        <w:rPr>
          <w:rFonts w:hint="default" w:ascii="Times New Roman" w:hAnsi="Times New Roman" w:eastAsia="仿宋_GB2312" w:cs="Times New Roman"/>
          <w:sz w:val="28"/>
          <w:szCs w:val="28"/>
        </w:rPr>
        <w:t xml:space="preserve">  不同批次</w:t>
      </w:r>
      <w:r>
        <w:rPr>
          <w:rFonts w:hint="default" w:ascii="Times New Roman" w:hAnsi="Times New Roman" w:cs="Times New Roman"/>
          <w:sz w:val="28"/>
          <w:szCs w:val="28"/>
          <w:lang w:val="en-US" w:eastAsia="zh-CN"/>
        </w:rPr>
        <w:t>大果山楂原汁总糖</w:t>
      </w:r>
      <w:r>
        <w:rPr>
          <w:rFonts w:hint="eastAsia" w:ascii="Times New Roman" w:hAnsi="Times New Roman" w:cs="Times New Roman"/>
          <w:sz w:val="28"/>
          <w:szCs w:val="28"/>
          <w:lang w:val="en-US" w:eastAsia="zh-CN"/>
        </w:rPr>
        <w:t>含量</w:t>
      </w:r>
    </w:p>
    <w:tbl>
      <w:tblPr>
        <w:tblStyle w:val="4"/>
        <w:tblW w:w="7390" w:type="dxa"/>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428"/>
        <w:gridCol w:w="4962"/>
      </w:tblGrid>
      <w:tr w14:paraId="4AF1CD2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28" w:type="dxa"/>
            <w:tcBorders>
              <w:top w:val="single" w:color="auto" w:sz="4" w:space="0"/>
            </w:tcBorders>
            <w:noWrap w:val="0"/>
            <w:vAlign w:val="center"/>
          </w:tcPr>
          <w:p w14:paraId="6FEF31A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编号</w:t>
            </w:r>
          </w:p>
        </w:tc>
        <w:tc>
          <w:tcPr>
            <w:tcW w:w="4962" w:type="dxa"/>
            <w:tcBorders>
              <w:top w:val="single" w:color="auto" w:sz="4" w:space="0"/>
            </w:tcBorders>
            <w:noWrap w:val="0"/>
            <w:vAlign w:val="center"/>
          </w:tcPr>
          <w:p w14:paraId="69F6780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lang w:val="en-US" w:eastAsia="zh-CN"/>
              </w:rPr>
            </w:pPr>
            <w:r>
              <w:rPr>
                <w:rFonts w:hint="default" w:ascii="Times New Roman" w:hAnsi="Times New Roman" w:cs="Times New Roman"/>
                <w:sz w:val="28"/>
                <w:szCs w:val="28"/>
                <w:lang w:val="en-US" w:eastAsia="zh-CN"/>
              </w:rPr>
              <w:t>总糖</w:t>
            </w:r>
            <w:r>
              <w:rPr>
                <w:rFonts w:hint="eastAsia" w:ascii="Times New Roman" w:hAnsi="Times New Roman" w:cs="Times New Roman"/>
                <w:sz w:val="28"/>
                <w:szCs w:val="28"/>
                <w:lang w:val="en-US" w:eastAsia="zh-CN"/>
              </w:rPr>
              <w:t>%</w:t>
            </w:r>
          </w:p>
        </w:tc>
      </w:tr>
      <w:tr w14:paraId="5F8404C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noWrap w:val="0"/>
            <w:vAlign w:val="center"/>
          </w:tcPr>
          <w:p w14:paraId="6514FB7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IP-1</w:t>
            </w:r>
          </w:p>
        </w:tc>
        <w:tc>
          <w:tcPr>
            <w:tcW w:w="4962" w:type="dxa"/>
            <w:noWrap w:val="0"/>
            <w:vAlign w:val="center"/>
          </w:tcPr>
          <w:p w14:paraId="2F1DE72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eastAsia="zh-CN"/>
              </w:rPr>
            </w:pPr>
            <w:r>
              <w:rPr>
                <w:rFonts w:hint="default" w:ascii="Times New Roman" w:hAnsi="Times New Roman" w:eastAsia="宋体" w:cs="Times New Roman"/>
                <w:i w:val="0"/>
                <w:iCs w:val="0"/>
                <w:color w:val="000000"/>
                <w:kern w:val="0"/>
                <w:sz w:val="28"/>
                <w:szCs w:val="28"/>
                <w:u w:val="none"/>
                <w:lang w:val="en-US" w:eastAsia="zh-CN" w:bidi="ar"/>
              </w:rPr>
              <w:t>9.78</w:t>
            </w:r>
          </w:p>
        </w:tc>
      </w:tr>
      <w:tr w14:paraId="4EFAD67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tcBorders>
              <w:bottom w:val="single" w:color="auto" w:sz="4" w:space="0"/>
            </w:tcBorders>
            <w:noWrap w:val="0"/>
            <w:vAlign w:val="center"/>
          </w:tcPr>
          <w:p w14:paraId="0FE0DC2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IP-2</w:t>
            </w:r>
          </w:p>
        </w:tc>
        <w:tc>
          <w:tcPr>
            <w:tcW w:w="4962" w:type="dxa"/>
            <w:tcBorders>
              <w:bottom w:val="single" w:color="auto" w:sz="4" w:space="0"/>
            </w:tcBorders>
            <w:noWrap w:val="0"/>
            <w:vAlign w:val="center"/>
          </w:tcPr>
          <w:p w14:paraId="2591E10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eastAsia="zh-CN"/>
              </w:rPr>
            </w:pPr>
            <w:r>
              <w:rPr>
                <w:rFonts w:hint="default" w:ascii="Times New Roman" w:hAnsi="Times New Roman" w:eastAsia="宋体" w:cs="Times New Roman"/>
                <w:i w:val="0"/>
                <w:iCs w:val="0"/>
                <w:color w:val="000000"/>
                <w:kern w:val="0"/>
                <w:sz w:val="28"/>
                <w:szCs w:val="28"/>
                <w:u w:val="none"/>
                <w:lang w:val="en-US" w:eastAsia="zh-CN" w:bidi="ar"/>
              </w:rPr>
              <w:t>6.44</w:t>
            </w:r>
          </w:p>
        </w:tc>
      </w:tr>
      <w:tr w14:paraId="72D8847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tcBorders>
              <w:top w:val="single" w:color="auto" w:sz="4" w:space="0"/>
            </w:tcBorders>
            <w:noWrap w:val="0"/>
            <w:vAlign w:val="center"/>
          </w:tcPr>
          <w:p w14:paraId="4A6C8BC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IP-3</w:t>
            </w:r>
          </w:p>
        </w:tc>
        <w:tc>
          <w:tcPr>
            <w:tcW w:w="4962" w:type="dxa"/>
            <w:tcBorders>
              <w:top w:val="single" w:color="auto" w:sz="4" w:space="0"/>
            </w:tcBorders>
            <w:noWrap w:val="0"/>
            <w:vAlign w:val="center"/>
          </w:tcPr>
          <w:p w14:paraId="65A613E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val="en-US" w:eastAsia="zh-CN"/>
              </w:rPr>
            </w:pPr>
            <w:r>
              <w:rPr>
                <w:rFonts w:hint="default" w:ascii="Times New Roman" w:hAnsi="Times New Roman" w:eastAsia="宋体" w:cs="Times New Roman"/>
                <w:i w:val="0"/>
                <w:iCs w:val="0"/>
                <w:color w:val="000000"/>
                <w:kern w:val="0"/>
                <w:sz w:val="28"/>
                <w:szCs w:val="28"/>
                <w:u w:val="none"/>
                <w:lang w:val="en-US" w:eastAsia="zh-CN" w:bidi="ar"/>
              </w:rPr>
              <w:t>8</w:t>
            </w:r>
            <w:r>
              <w:rPr>
                <w:rFonts w:hint="eastAsia" w:ascii="Times New Roman" w:hAnsi="Times New Roman" w:eastAsia="宋体" w:cs="Times New Roman"/>
                <w:i w:val="0"/>
                <w:iCs w:val="0"/>
                <w:color w:val="000000"/>
                <w:kern w:val="0"/>
                <w:sz w:val="28"/>
                <w:szCs w:val="28"/>
                <w:u w:val="none"/>
                <w:lang w:val="en-US" w:eastAsia="zh-CN" w:bidi="ar"/>
              </w:rPr>
              <w:t>.00</w:t>
            </w:r>
          </w:p>
        </w:tc>
      </w:tr>
      <w:tr w14:paraId="51DF3BD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noWrap w:val="0"/>
            <w:vAlign w:val="center"/>
          </w:tcPr>
          <w:p w14:paraId="768A451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IP-4</w:t>
            </w:r>
          </w:p>
        </w:tc>
        <w:tc>
          <w:tcPr>
            <w:tcW w:w="4962" w:type="dxa"/>
            <w:noWrap w:val="0"/>
            <w:vAlign w:val="center"/>
          </w:tcPr>
          <w:p w14:paraId="3665AE1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eastAsia="zh-CN"/>
              </w:rPr>
            </w:pPr>
            <w:r>
              <w:rPr>
                <w:rFonts w:hint="default" w:ascii="Times New Roman" w:hAnsi="Times New Roman" w:eastAsia="宋体" w:cs="Times New Roman"/>
                <w:i w:val="0"/>
                <w:iCs w:val="0"/>
                <w:color w:val="000000"/>
                <w:kern w:val="0"/>
                <w:sz w:val="28"/>
                <w:szCs w:val="28"/>
                <w:u w:val="none"/>
                <w:lang w:val="en-US" w:eastAsia="zh-CN" w:bidi="ar"/>
              </w:rPr>
              <w:t>10.2</w:t>
            </w:r>
          </w:p>
        </w:tc>
      </w:tr>
      <w:tr w14:paraId="37B019B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noWrap w:val="0"/>
            <w:vAlign w:val="center"/>
          </w:tcPr>
          <w:p w14:paraId="08FF367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IP-5</w:t>
            </w:r>
          </w:p>
        </w:tc>
        <w:tc>
          <w:tcPr>
            <w:tcW w:w="4962" w:type="dxa"/>
            <w:noWrap w:val="0"/>
            <w:vAlign w:val="center"/>
          </w:tcPr>
          <w:p w14:paraId="6FABBC2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eastAsia="zh-CN"/>
              </w:rPr>
            </w:pPr>
            <w:r>
              <w:rPr>
                <w:rFonts w:hint="default" w:ascii="Times New Roman" w:hAnsi="Times New Roman" w:eastAsia="宋体" w:cs="Times New Roman"/>
                <w:i w:val="0"/>
                <w:iCs w:val="0"/>
                <w:color w:val="000000"/>
                <w:kern w:val="0"/>
                <w:sz w:val="28"/>
                <w:szCs w:val="28"/>
                <w:u w:val="none"/>
                <w:lang w:val="en-US" w:eastAsia="zh-CN" w:bidi="ar"/>
              </w:rPr>
              <w:t>10.7</w:t>
            </w:r>
          </w:p>
        </w:tc>
      </w:tr>
      <w:tr w14:paraId="0CA95DD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noWrap w:val="0"/>
            <w:vAlign w:val="center"/>
          </w:tcPr>
          <w:p w14:paraId="6607503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IP-6</w:t>
            </w:r>
          </w:p>
        </w:tc>
        <w:tc>
          <w:tcPr>
            <w:tcW w:w="4962" w:type="dxa"/>
            <w:noWrap w:val="0"/>
            <w:vAlign w:val="center"/>
          </w:tcPr>
          <w:p w14:paraId="169B5DD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eastAsia="zh-CN"/>
              </w:rPr>
            </w:pPr>
            <w:r>
              <w:rPr>
                <w:rFonts w:hint="default" w:ascii="Times New Roman" w:hAnsi="Times New Roman" w:eastAsia="宋体" w:cs="Times New Roman"/>
                <w:i w:val="0"/>
                <w:iCs w:val="0"/>
                <w:color w:val="000000"/>
                <w:kern w:val="0"/>
                <w:sz w:val="28"/>
                <w:szCs w:val="28"/>
                <w:u w:val="none"/>
                <w:lang w:val="en-US" w:eastAsia="zh-CN" w:bidi="ar"/>
              </w:rPr>
              <w:t>6.57</w:t>
            </w:r>
          </w:p>
        </w:tc>
      </w:tr>
      <w:tr w14:paraId="7D65C45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noWrap w:val="0"/>
            <w:vAlign w:val="center"/>
          </w:tcPr>
          <w:p w14:paraId="5B46827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IP-7</w:t>
            </w:r>
          </w:p>
        </w:tc>
        <w:tc>
          <w:tcPr>
            <w:tcW w:w="4962" w:type="dxa"/>
            <w:noWrap w:val="0"/>
            <w:vAlign w:val="center"/>
          </w:tcPr>
          <w:p w14:paraId="346BFBF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eastAsia="zh-CN"/>
              </w:rPr>
            </w:pPr>
            <w:r>
              <w:rPr>
                <w:rFonts w:hint="default" w:ascii="Times New Roman" w:hAnsi="Times New Roman" w:eastAsia="宋体" w:cs="Times New Roman"/>
                <w:i w:val="0"/>
                <w:iCs w:val="0"/>
                <w:color w:val="000000"/>
                <w:kern w:val="0"/>
                <w:sz w:val="28"/>
                <w:szCs w:val="28"/>
                <w:u w:val="none"/>
                <w:lang w:val="en-US" w:eastAsia="zh-CN" w:bidi="ar"/>
              </w:rPr>
              <w:t>7.80</w:t>
            </w:r>
          </w:p>
        </w:tc>
      </w:tr>
      <w:tr w14:paraId="55B84C0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noWrap w:val="0"/>
            <w:vAlign w:val="center"/>
          </w:tcPr>
          <w:p w14:paraId="1DAB544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IP-8</w:t>
            </w:r>
          </w:p>
        </w:tc>
        <w:tc>
          <w:tcPr>
            <w:tcW w:w="4962" w:type="dxa"/>
            <w:noWrap w:val="0"/>
            <w:vAlign w:val="center"/>
          </w:tcPr>
          <w:p w14:paraId="0F660F7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eastAsia="zh-CN"/>
              </w:rPr>
            </w:pPr>
            <w:r>
              <w:rPr>
                <w:rFonts w:hint="default" w:ascii="Times New Roman" w:hAnsi="Times New Roman" w:eastAsia="宋体" w:cs="Times New Roman"/>
                <w:i w:val="0"/>
                <w:iCs w:val="0"/>
                <w:color w:val="000000"/>
                <w:kern w:val="0"/>
                <w:sz w:val="28"/>
                <w:szCs w:val="28"/>
                <w:u w:val="none"/>
                <w:lang w:val="en-US" w:eastAsia="zh-CN" w:bidi="ar"/>
              </w:rPr>
              <w:t>10.0</w:t>
            </w:r>
          </w:p>
        </w:tc>
      </w:tr>
      <w:tr w14:paraId="2A54563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noWrap w:val="0"/>
            <w:vAlign w:val="center"/>
          </w:tcPr>
          <w:p w14:paraId="5AF803F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IP-9</w:t>
            </w:r>
          </w:p>
        </w:tc>
        <w:tc>
          <w:tcPr>
            <w:tcW w:w="4962" w:type="dxa"/>
            <w:noWrap w:val="0"/>
            <w:vAlign w:val="center"/>
          </w:tcPr>
          <w:p w14:paraId="4CD5E8F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eastAsia="zh-CN"/>
              </w:rPr>
            </w:pPr>
            <w:r>
              <w:rPr>
                <w:rFonts w:hint="default" w:ascii="Times New Roman" w:hAnsi="Times New Roman" w:eastAsia="宋体" w:cs="Times New Roman"/>
                <w:i w:val="0"/>
                <w:iCs w:val="0"/>
                <w:color w:val="000000"/>
                <w:kern w:val="0"/>
                <w:sz w:val="28"/>
                <w:szCs w:val="28"/>
                <w:u w:val="none"/>
                <w:lang w:val="en-US" w:eastAsia="zh-CN" w:bidi="ar"/>
              </w:rPr>
              <w:t>6.84</w:t>
            </w:r>
          </w:p>
        </w:tc>
      </w:tr>
      <w:tr w14:paraId="40D4E45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tcBorders>
              <w:bottom w:val="single" w:color="auto" w:sz="4" w:space="0"/>
            </w:tcBorders>
            <w:noWrap w:val="0"/>
            <w:vAlign w:val="center"/>
          </w:tcPr>
          <w:p w14:paraId="4C9A2EF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IP-10</w:t>
            </w:r>
          </w:p>
        </w:tc>
        <w:tc>
          <w:tcPr>
            <w:tcW w:w="4962" w:type="dxa"/>
            <w:tcBorders>
              <w:bottom w:val="single" w:color="auto" w:sz="4" w:space="0"/>
            </w:tcBorders>
            <w:noWrap w:val="0"/>
            <w:vAlign w:val="center"/>
          </w:tcPr>
          <w:p w14:paraId="0F19DAF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eastAsia="zh-CN"/>
              </w:rPr>
            </w:pPr>
            <w:r>
              <w:rPr>
                <w:rFonts w:hint="default" w:ascii="Times New Roman" w:hAnsi="Times New Roman" w:eastAsia="宋体" w:cs="Times New Roman"/>
                <w:i w:val="0"/>
                <w:iCs w:val="0"/>
                <w:color w:val="000000"/>
                <w:kern w:val="0"/>
                <w:sz w:val="28"/>
                <w:szCs w:val="28"/>
                <w:u w:val="none"/>
                <w:lang w:val="en-US" w:eastAsia="zh-CN" w:bidi="ar"/>
              </w:rPr>
              <w:t>8.19</w:t>
            </w:r>
          </w:p>
        </w:tc>
      </w:tr>
    </w:tbl>
    <w:p w14:paraId="58A4D27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总糖</w:t>
      </w:r>
      <w:r>
        <w:rPr>
          <w:rFonts w:hint="eastAsia" w:ascii="Times New Roman" w:hAnsi="Times New Roman" w:cs="Times New Roman"/>
          <w:sz w:val="32"/>
          <w:szCs w:val="32"/>
          <w:lang w:val="en-US" w:eastAsia="zh-CN"/>
        </w:rPr>
        <w:t>含量</w:t>
      </w:r>
      <w:r>
        <w:rPr>
          <w:rFonts w:hint="default" w:ascii="Times New Roman" w:hAnsi="Times New Roman" w:eastAsia="仿宋_GB2312" w:cs="Times New Roman"/>
          <w:sz w:val="32"/>
          <w:szCs w:val="32"/>
          <w:lang w:val="en-US" w:eastAsia="zh-CN"/>
        </w:rPr>
        <w:t>是影响产品甜度和口感的关键因素之一。大果山楂本身含有一定量的糖类物质，在加工过程中应保留一定的糖分以满足消费者对口感的需求。通过对样品的检测和市场调研，参考同类果汁产品的总糖</w:t>
      </w:r>
      <w:r>
        <w:rPr>
          <w:rFonts w:hint="eastAsia" w:ascii="Times New Roman" w:hAnsi="Times New Roman" w:cs="Times New Roman"/>
          <w:sz w:val="32"/>
          <w:szCs w:val="32"/>
          <w:lang w:val="en-US" w:eastAsia="zh-CN"/>
        </w:rPr>
        <w:t>含量</w:t>
      </w:r>
      <w:r>
        <w:rPr>
          <w:rFonts w:hint="default" w:ascii="Times New Roman" w:hAnsi="Times New Roman" w:eastAsia="仿宋_GB2312" w:cs="Times New Roman"/>
          <w:sz w:val="32"/>
          <w:szCs w:val="32"/>
          <w:lang w:val="en-US" w:eastAsia="zh-CN"/>
        </w:rPr>
        <w:t>标准，确定≥</w:t>
      </w:r>
      <w:r>
        <w:rPr>
          <w:rFonts w:hint="eastAsia" w:ascii="Times New Roman" w:hAnsi="Times New Roman" w:cs="Times New Roman"/>
          <w:sz w:val="32"/>
          <w:szCs w:val="32"/>
          <w:lang w:val="en-US" w:eastAsia="zh-CN"/>
        </w:rPr>
        <w:t>6</w:t>
      </w:r>
      <w:r>
        <w:rPr>
          <w:rFonts w:hint="default" w:ascii="Times New Roman" w:hAnsi="Times New Roman" w:eastAsia="仿宋_GB2312" w:cs="Times New Roman"/>
          <w:sz w:val="32"/>
          <w:szCs w:val="32"/>
          <w:lang w:val="en-US" w:eastAsia="zh-CN"/>
        </w:rPr>
        <w:t>.0</w:t>
      </w:r>
      <w:r>
        <w:rPr>
          <w:rFonts w:hint="eastAsia" w:ascii="Times New Roman" w:hAnsi="Times New Roman" w:cs="Times New Roman"/>
          <w:sz w:val="32"/>
          <w:szCs w:val="32"/>
          <w:lang w:val="en-US" w:eastAsia="zh-CN"/>
        </w:rPr>
        <w:t>%</w:t>
      </w:r>
      <w:r>
        <w:rPr>
          <w:rFonts w:hint="default" w:ascii="Times New Roman" w:hAnsi="Times New Roman" w:eastAsia="仿宋_GB2312" w:cs="Times New Roman"/>
          <w:sz w:val="32"/>
          <w:szCs w:val="32"/>
          <w:lang w:val="en-US" w:eastAsia="zh-CN"/>
        </w:rPr>
        <w:t>作为大果山楂原汁的总糖量指标下限，既能保证产品甜度适中，又能体现大果山楂的天然风味。</w:t>
      </w:r>
    </w:p>
    <w:p w14:paraId="49FC9A7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3.</w:t>
      </w:r>
      <w:r>
        <w:rPr>
          <w:rFonts w:hint="default" w:ascii="Times New Roman" w:hAnsi="Times New Roman" w:eastAsia="仿宋_GB2312" w:cs="Times New Roman"/>
          <w:sz w:val="32"/>
          <w:szCs w:val="32"/>
          <w:lang w:val="en-US" w:eastAsia="zh-CN"/>
        </w:rPr>
        <w:t>总酸（以苹果酸计）</w:t>
      </w:r>
    </w:p>
    <w:p w14:paraId="45FC4FF0">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jc w:val="center"/>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rPr>
        <w:t>表</w:t>
      </w:r>
      <w:r>
        <w:rPr>
          <w:rFonts w:hint="eastAsia" w:ascii="Times New Roman" w:hAnsi="Times New Roman" w:cs="Times New Roman"/>
          <w:sz w:val="28"/>
          <w:szCs w:val="28"/>
          <w:lang w:val="en-US" w:eastAsia="zh-CN"/>
        </w:rPr>
        <w:t>4</w:t>
      </w:r>
      <w:r>
        <w:rPr>
          <w:rFonts w:hint="default" w:ascii="Times New Roman" w:hAnsi="Times New Roman" w:eastAsia="仿宋_GB2312" w:cs="Times New Roman"/>
          <w:sz w:val="28"/>
          <w:szCs w:val="28"/>
        </w:rPr>
        <w:t xml:space="preserve">  不同批次</w:t>
      </w:r>
      <w:r>
        <w:rPr>
          <w:rFonts w:hint="default" w:ascii="Times New Roman" w:hAnsi="Times New Roman" w:eastAsia="仿宋_GB2312" w:cs="Times New Roman"/>
          <w:sz w:val="28"/>
          <w:szCs w:val="28"/>
          <w:lang w:val="en-US" w:eastAsia="zh-CN"/>
        </w:rPr>
        <w:t>大果山楂原汁总酸</w:t>
      </w:r>
      <w:r>
        <w:rPr>
          <w:rFonts w:hint="eastAsia" w:ascii="Times New Roman" w:hAnsi="Times New Roman" w:cs="Times New Roman"/>
          <w:sz w:val="28"/>
          <w:szCs w:val="28"/>
          <w:lang w:val="en-US" w:eastAsia="zh-CN"/>
        </w:rPr>
        <w:t>含量</w:t>
      </w:r>
    </w:p>
    <w:tbl>
      <w:tblPr>
        <w:tblStyle w:val="4"/>
        <w:tblW w:w="7390" w:type="dxa"/>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428"/>
        <w:gridCol w:w="4962"/>
      </w:tblGrid>
      <w:tr w14:paraId="16A0FC5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28" w:type="dxa"/>
            <w:tcBorders>
              <w:top w:val="single" w:color="auto" w:sz="4" w:space="0"/>
            </w:tcBorders>
            <w:noWrap w:val="0"/>
            <w:vAlign w:val="center"/>
          </w:tcPr>
          <w:p w14:paraId="5008B99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编号</w:t>
            </w:r>
          </w:p>
        </w:tc>
        <w:tc>
          <w:tcPr>
            <w:tcW w:w="4962" w:type="dxa"/>
            <w:tcBorders>
              <w:top w:val="single" w:color="auto" w:sz="4" w:space="0"/>
            </w:tcBorders>
            <w:noWrap w:val="0"/>
            <w:vAlign w:val="center"/>
          </w:tcPr>
          <w:p w14:paraId="1A39EA2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总酸</w:t>
            </w:r>
            <w:r>
              <w:rPr>
                <w:rFonts w:hint="eastAsia" w:ascii="Times New Roman" w:hAnsi="Times New Roman" w:cs="Times New Roman"/>
                <w:sz w:val="28"/>
                <w:szCs w:val="28"/>
                <w:lang w:val="en-US" w:eastAsia="zh-CN"/>
              </w:rPr>
              <w:t>g/kg</w:t>
            </w:r>
          </w:p>
        </w:tc>
      </w:tr>
      <w:tr w14:paraId="0C26CE5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noWrap w:val="0"/>
            <w:vAlign w:val="center"/>
          </w:tcPr>
          <w:p w14:paraId="53096AA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IP-1</w:t>
            </w:r>
          </w:p>
        </w:tc>
        <w:tc>
          <w:tcPr>
            <w:tcW w:w="4962" w:type="dxa"/>
            <w:noWrap w:val="0"/>
            <w:vAlign w:val="center"/>
          </w:tcPr>
          <w:p w14:paraId="6ED9978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i w:val="0"/>
                <w:iCs w:val="0"/>
                <w:color w:val="000000"/>
                <w:kern w:val="0"/>
                <w:sz w:val="28"/>
                <w:szCs w:val="28"/>
                <w:u w:val="none"/>
                <w:lang w:val="en-US" w:eastAsia="zh-CN" w:bidi="ar"/>
              </w:rPr>
              <w:t>20.15</w:t>
            </w:r>
          </w:p>
        </w:tc>
      </w:tr>
      <w:tr w14:paraId="6284E38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tcBorders>
              <w:bottom w:val="single" w:color="auto" w:sz="4" w:space="0"/>
            </w:tcBorders>
            <w:noWrap w:val="0"/>
            <w:vAlign w:val="center"/>
          </w:tcPr>
          <w:p w14:paraId="777D3AF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IP-2</w:t>
            </w:r>
          </w:p>
        </w:tc>
        <w:tc>
          <w:tcPr>
            <w:tcW w:w="4962" w:type="dxa"/>
            <w:tcBorders>
              <w:bottom w:val="single" w:color="auto" w:sz="4" w:space="0"/>
            </w:tcBorders>
            <w:noWrap w:val="0"/>
            <w:vAlign w:val="center"/>
          </w:tcPr>
          <w:p w14:paraId="322715F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i w:val="0"/>
                <w:iCs w:val="0"/>
                <w:color w:val="000000"/>
                <w:kern w:val="0"/>
                <w:sz w:val="28"/>
                <w:szCs w:val="28"/>
                <w:u w:val="none"/>
                <w:lang w:val="en-US" w:eastAsia="zh-CN" w:bidi="ar"/>
              </w:rPr>
              <w:t>7.53</w:t>
            </w:r>
          </w:p>
        </w:tc>
      </w:tr>
      <w:tr w14:paraId="049BB52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tcBorders>
              <w:top w:val="single" w:color="auto" w:sz="4" w:space="0"/>
            </w:tcBorders>
            <w:noWrap w:val="0"/>
            <w:vAlign w:val="center"/>
          </w:tcPr>
          <w:p w14:paraId="24FB803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IP-3</w:t>
            </w:r>
          </w:p>
        </w:tc>
        <w:tc>
          <w:tcPr>
            <w:tcW w:w="4962" w:type="dxa"/>
            <w:tcBorders>
              <w:top w:val="single" w:color="auto" w:sz="4" w:space="0"/>
            </w:tcBorders>
            <w:noWrap w:val="0"/>
            <w:vAlign w:val="center"/>
          </w:tcPr>
          <w:p w14:paraId="2AAA05B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i w:val="0"/>
                <w:iCs w:val="0"/>
                <w:color w:val="000000"/>
                <w:kern w:val="0"/>
                <w:sz w:val="28"/>
                <w:szCs w:val="28"/>
                <w:u w:val="none"/>
                <w:lang w:val="en-US" w:eastAsia="zh-CN" w:bidi="ar"/>
              </w:rPr>
              <w:t>23.15</w:t>
            </w:r>
          </w:p>
        </w:tc>
      </w:tr>
      <w:tr w14:paraId="5FCA09D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noWrap w:val="0"/>
            <w:vAlign w:val="center"/>
          </w:tcPr>
          <w:p w14:paraId="4E3D436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IP-4</w:t>
            </w:r>
          </w:p>
        </w:tc>
        <w:tc>
          <w:tcPr>
            <w:tcW w:w="4962" w:type="dxa"/>
            <w:noWrap w:val="0"/>
            <w:vAlign w:val="center"/>
          </w:tcPr>
          <w:p w14:paraId="40DE0C8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i w:val="0"/>
                <w:iCs w:val="0"/>
                <w:color w:val="000000"/>
                <w:kern w:val="0"/>
                <w:sz w:val="28"/>
                <w:szCs w:val="28"/>
                <w:u w:val="none"/>
                <w:lang w:val="en-US" w:eastAsia="zh-CN" w:bidi="ar"/>
              </w:rPr>
              <w:t>13.27</w:t>
            </w:r>
          </w:p>
        </w:tc>
      </w:tr>
      <w:tr w14:paraId="3F844E3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noWrap w:val="0"/>
            <w:vAlign w:val="center"/>
          </w:tcPr>
          <w:p w14:paraId="2461AA1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IP-5</w:t>
            </w:r>
          </w:p>
        </w:tc>
        <w:tc>
          <w:tcPr>
            <w:tcW w:w="4962" w:type="dxa"/>
            <w:noWrap w:val="0"/>
            <w:vAlign w:val="center"/>
          </w:tcPr>
          <w:p w14:paraId="2B4D907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i w:val="0"/>
                <w:iCs w:val="0"/>
                <w:color w:val="000000"/>
                <w:kern w:val="0"/>
                <w:sz w:val="28"/>
                <w:szCs w:val="28"/>
                <w:u w:val="none"/>
                <w:lang w:val="en-US" w:eastAsia="zh-CN" w:bidi="ar"/>
              </w:rPr>
              <w:t>17.84</w:t>
            </w:r>
          </w:p>
        </w:tc>
      </w:tr>
      <w:tr w14:paraId="6CF0378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noWrap w:val="0"/>
            <w:vAlign w:val="center"/>
          </w:tcPr>
          <w:p w14:paraId="519719C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IP-6</w:t>
            </w:r>
          </w:p>
        </w:tc>
        <w:tc>
          <w:tcPr>
            <w:tcW w:w="4962" w:type="dxa"/>
            <w:noWrap w:val="0"/>
            <w:vAlign w:val="center"/>
          </w:tcPr>
          <w:p w14:paraId="41D2560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i w:val="0"/>
                <w:iCs w:val="0"/>
                <w:color w:val="000000"/>
                <w:kern w:val="0"/>
                <w:sz w:val="28"/>
                <w:szCs w:val="28"/>
                <w:u w:val="none"/>
                <w:lang w:val="en-US" w:eastAsia="zh-CN" w:bidi="ar"/>
              </w:rPr>
              <w:t>16.06</w:t>
            </w:r>
          </w:p>
        </w:tc>
      </w:tr>
      <w:tr w14:paraId="6EFC951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noWrap w:val="0"/>
            <w:vAlign w:val="center"/>
          </w:tcPr>
          <w:p w14:paraId="75C84E0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IP-7</w:t>
            </w:r>
          </w:p>
        </w:tc>
        <w:tc>
          <w:tcPr>
            <w:tcW w:w="4962" w:type="dxa"/>
            <w:noWrap w:val="0"/>
            <w:vAlign w:val="center"/>
          </w:tcPr>
          <w:p w14:paraId="2B4A90F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i w:val="0"/>
                <w:iCs w:val="0"/>
                <w:color w:val="000000"/>
                <w:kern w:val="0"/>
                <w:sz w:val="28"/>
                <w:szCs w:val="28"/>
                <w:u w:val="none"/>
                <w:lang w:val="en-US" w:eastAsia="zh-CN" w:bidi="ar"/>
              </w:rPr>
              <w:t>22.53</w:t>
            </w:r>
          </w:p>
        </w:tc>
      </w:tr>
      <w:tr w14:paraId="4F39BE0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noWrap w:val="0"/>
            <w:vAlign w:val="center"/>
          </w:tcPr>
          <w:p w14:paraId="25149D7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IP-8</w:t>
            </w:r>
          </w:p>
        </w:tc>
        <w:tc>
          <w:tcPr>
            <w:tcW w:w="4962" w:type="dxa"/>
            <w:noWrap w:val="0"/>
            <w:vAlign w:val="center"/>
          </w:tcPr>
          <w:p w14:paraId="7C37D88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i w:val="0"/>
                <w:iCs w:val="0"/>
                <w:color w:val="000000"/>
                <w:kern w:val="0"/>
                <w:sz w:val="28"/>
                <w:szCs w:val="28"/>
                <w:u w:val="none"/>
                <w:lang w:val="en-US" w:eastAsia="zh-CN" w:bidi="ar"/>
              </w:rPr>
              <w:t>19.67</w:t>
            </w:r>
          </w:p>
        </w:tc>
      </w:tr>
      <w:tr w14:paraId="6B03759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noWrap w:val="0"/>
            <w:vAlign w:val="center"/>
          </w:tcPr>
          <w:p w14:paraId="29FA1C1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IP-9</w:t>
            </w:r>
          </w:p>
        </w:tc>
        <w:tc>
          <w:tcPr>
            <w:tcW w:w="4962" w:type="dxa"/>
            <w:noWrap w:val="0"/>
            <w:vAlign w:val="center"/>
          </w:tcPr>
          <w:p w14:paraId="71EF640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i w:val="0"/>
                <w:iCs w:val="0"/>
                <w:color w:val="000000"/>
                <w:kern w:val="0"/>
                <w:sz w:val="28"/>
                <w:szCs w:val="28"/>
                <w:u w:val="none"/>
                <w:lang w:val="en-US" w:eastAsia="zh-CN" w:bidi="ar"/>
              </w:rPr>
              <w:t>7.99</w:t>
            </w:r>
          </w:p>
        </w:tc>
      </w:tr>
      <w:tr w14:paraId="11A8C89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28" w:type="dxa"/>
            <w:tcBorders>
              <w:bottom w:val="single" w:color="auto" w:sz="4" w:space="0"/>
            </w:tcBorders>
            <w:noWrap w:val="0"/>
            <w:vAlign w:val="center"/>
          </w:tcPr>
          <w:p w14:paraId="4C67B69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IP-10</w:t>
            </w:r>
          </w:p>
        </w:tc>
        <w:tc>
          <w:tcPr>
            <w:tcW w:w="4962" w:type="dxa"/>
            <w:tcBorders>
              <w:bottom w:val="single" w:color="auto" w:sz="4" w:space="0"/>
            </w:tcBorders>
            <w:noWrap w:val="0"/>
            <w:vAlign w:val="center"/>
          </w:tcPr>
          <w:p w14:paraId="681B582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i w:val="0"/>
                <w:iCs w:val="0"/>
                <w:color w:val="000000"/>
                <w:kern w:val="0"/>
                <w:sz w:val="28"/>
                <w:szCs w:val="28"/>
                <w:u w:val="none"/>
                <w:lang w:val="en-US" w:eastAsia="zh-CN" w:bidi="ar"/>
              </w:rPr>
              <w:t>23.72</w:t>
            </w:r>
          </w:p>
        </w:tc>
      </w:tr>
    </w:tbl>
    <w:p w14:paraId="23FEA27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总酸含量影响产品的口感和风味平衡，适当的酸度可以增强产品的清爽感，同时也具有一定的抑菌作用。大果山楂中含有多种有机酸，通过对样品的检测分析，结合消费者对大果山楂原汁口感的反馈以及同类果汁产品的总酸含量范围，确定总酸（以苹果酸计）</w:t>
      </w:r>
      <w:r>
        <w:rPr>
          <w:rFonts w:hint="default" w:ascii="Times New Roman" w:hAnsi="Times New Roman" w:cs="Times New Roman"/>
          <w:sz w:val="32"/>
          <w:szCs w:val="32"/>
          <w:lang w:val="en-US" w:eastAsia="zh-CN"/>
        </w:rPr>
        <w:t>含量</w:t>
      </w:r>
      <w:r>
        <w:rPr>
          <w:rFonts w:hint="default" w:ascii="Times New Roman" w:hAnsi="Times New Roman" w:eastAsia="宋体" w:cs="Times New Roman"/>
          <w:sz w:val="32"/>
          <w:szCs w:val="32"/>
          <w:lang w:val="en-US" w:eastAsia="zh-CN"/>
        </w:rPr>
        <w:t>≧7.0g/kg</w:t>
      </w:r>
      <w:r>
        <w:rPr>
          <w:rFonts w:hint="default" w:ascii="Times New Roman" w:hAnsi="Times New Roman" w:eastAsia="仿宋_GB2312" w:cs="Times New Roman"/>
          <w:sz w:val="32"/>
          <w:szCs w:val="32"/>
          <w:lang w:val="en-US" w:eastAsia="zh-CN"/>
        </w:rPr>
        <w:t>，以保证产品具有良好的口感和风味稳定性。</w:t>
      </w:r>
    </w:p>
    <w:p w14:paraId="28E01902">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val="en-US" w:eastAsia="zh-CN"/>
        </w:rPr>
        <w:t>六</w:t>
      </w:r>
      <w:r>
        <w:rPr>
          <w:rFonts w:hint="eastAsia" w:ascii="楷体_GB2312" w:hAnsi="楷体_GB2312" w:eastAsia="楷体_GB2312" w:cs="楷体_GB2312"/>
          <w:b/>
          <w:bCs/>
          <w:sz w:val="32"/>
          <w:szCs w:val="32"/>
        </w:rPr>
        <w:t>）安全指标</w:t>
      </w:r>
    </w:p>
    <w:p w14:paraId="286442E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根据</w:t>
      </w:r>
      <w:r>
        <w:rPr>
          <w:rFonts w:hint="default" w:ascii="Times New Roman" w:hAnsi="Times New Roman" w:eastAsia="仿宋_GB2312" w:cs="Times New Roman"/>
          <w:sz w:val="32"/>
          <w:szCs w:val="32"/>
          <w:lang w:val="en-US" w:eastAsia="zh-CN"/>
        </w:rPr>
        <w:t>国家法律对饮料类产品的强制要求</w:t>
      </w:r>
      <w:r>
        <w:rPr>
          <w:rFonts w:hint="eastAsia" w:ascii="Times New Roman" w:hAnsi="Times New Roman" w:cs="Times New Roman"/>
          <w:sz w:val="32"/>
          <w:szCs w:val="32"/>
          <w:lang w:val="en-US" w:eastAsia="zh-CN"/>
        </w:rPr>
        <w:t>，</w:t>
      </w:r>
      <w:r>
        <w:rPr>
          <w:rFonts w:hint="default" w:ascii="Times New Roman" w:hAnsi="Times New Roman" w:eastAsia="仿宋_GB2312" w:cs="Times New Roman"/>
          <w:sz w:val="32"/>
          <w:szCs w:val="32"/>
          <w:lang w:val="en-US" w:eastAsia="zh-CN"/>
        </w:rPr>
        <w:t>微生物限量、真菌毒素限量、污染物限量、农药残留应符合GB 7101。</w:t>
      </w:r>
    </w:p>
    <w:p w14:paraId="345417E0">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（七）包装、运输和贮存方面的要求</w:t>
      </w:r>
    </w:p>
    <w:p w14:paraId="0931A2D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产品应采用符合食品安全标准的包装材料进行包装，</w:t>
      </w:r>
      <w:r>
        <w:rPr>
          <w:rFonts w:hint="eastAsia" w:ascii="Times New Roman" w:hAnsi="Times New Roman" w:cs="Times New Roman"/>
          <w:sz w:val="32"/>
          <w:szCs w:val="32"/>
          <w:lang w:val="en-US" w:eastAsia="zh-CN"/>
        </w:rPr>
        <w:t>且</w:t>
      </w:r>
      <w:r>
        <w:rPr>
          <w:rFonts w:hint="default" w:ascii="Times New Roman" w:hAnsi="Times New Roman" w:eastAsia="仿宋_GB2312" w:cs="Times New Roman"/>
          <w:sz w:val="32"/>
          <w:szCs w:val="32"/>
          <w:lang w:val="en-US" w:eastAsia="zh-CN"/>
        </w:rPr>
        <w:t>清洁、干燥、密封良好，标签标识符合GB 7718《食品安全国家标准 预包装食品标签通则》</w:t>
      </w:r>
      <w:r>
        <w:rPr>
          <w:rFonts w:hint="eastAsia" w:ascii="Times New Roman" w:hAnsi="Times New Roman" w:cs="Times New Roman"/>
          <w:sz w:val="32"/>
          <w:szCs w:val="32"/>
          <w:lang w:val="en-US" w:eastAsia="zh-CN"/>
        </w:rPr>
        <w:t>和《GB 28050-2011 食品安全国家标准 预包装食品营养标签通则》</w:t>
      </w:r>
      <w:r>
        <w:rPr>
          <w:rFonts w:hint="default" w:ascii="Times New Roman" w:hAnsi="Times New Roman" w:eastAsia="仿宋_GB2312" w:cs="Times New Roman"/>
          <w:sz w:val="32"/>
          <w:szCs w:val="32"/>
          <w:lang w:val="en-US" w:eastAsia="zh-CN"/>
        </w:rPr>
        <w:t>的规定，有助于消费者了解产品信息，保障消费者的知情权和选择权，同时也符合市场监管要求。</w:t>
      </w:r>
    </w:p>
    <w:p w14:paraId="5AC4088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清洁、卫生、干燥且无异味的运输工具可防止产品在运输过程中受到污染，影响产品质量。日晒、雨淋可能导致产品包装损坏、变质等问题这些要求符合食品运输的一般原则和行业规范。</w:t>
      </w:r>
    </w:p>
    <w:p w14:paraId="002C64B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阴凉、干燥、通风良好且避免阳光直射的贮存环境可减少产品氧化、变质的风险。适宜的温度和湿度条件有助于保持产品的稳定性，延长产品的保质期。不与有毒、有害、有异味的物品混放可避免产品受到交叉污染，保证产品质量安全。这些贮存要求是根据大果山楂原汁的特性以及食品贮存的相关标准和经验制定的。</w:t>
      </w:r>
    </w:p>
    <w:p w14:paraId="50011FF6"/>
    <w:sectPr>
      <w:footerReference r:id="rId3" w:type="default"/>
      <w:pgSz w:w="11906" w:h="16838"/>
      <w:pgMar w:top="2098" w:right="1474" w:bottom="1984" w:left="1587" w:header="1417" w:footer="1417"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24FE7F4-6DD8-4CB1-8521-EC0CC59E31F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8735934D-FD7A-4BEC-B605-BE07B39EEFB7}"/>
  </w:font>
  <w:font w:name="仿宋_GB2312">
    <w:panose1 w:val="02010609030101010101"/>
    <w:charset w:val="86"/>
    <w:family w:val="auto"/>
    <w:pitch w:val="default"/>
    <w:sig w:usb0="00000001" w:usb1="080E0000" w:usb2="00000000" w:usb3="00000000" w:csb0="00040000" w:csb1="00000000"/>
    <w:embedRegular r:id="rId3" w:fontKey="{3E82AA2F-5538-4596-BD04-D71F7C9BCB64}"/>
  </w:font>
  <w:font w:name="方正小标宋简体">
    <w:panose1 w:val="02000000000000000000"/>
    <w:charset w:val="86"/>
    <w:family w:val="auto"/>
    <w:pitch w:val="default"/>
    <w:sig w:usb0="00000001" w:usb1="08000000" w:usb2="00000000" w:usb3="00000000" w:csb0="00040000" w:csb1="00000000"/>
    <w:embedRegular r:id="rId4" w:fontKey="{7AAB2270-1688-49D6-BB3C-584070765320}"/>
  </w:font>
  <w:font w:name="楷体_GB2312">
    <w:panose1 w:val="02010609030101010101"/>
    <w:charset w:val="86"/>
    <w:family w:val="auto"/>
    <w:pitch w:val="default"/>
    <w:sig w:usb0="00000001" w:usb1="080E0000" w:usb2="00000000" w:usb3="00000000" w:csb0="00040000" w:csb1="00000000"/>
    <w:embedRegular r:id="rId5" w:fontKey="{91A515A9-B62C-4129-8E9A-047707C0247E}"/>
  </w:font>
  <w:font w:name="仿宋">
    <w:panose1 w:val="02010609060101010101"/>
    <w:charset w:val="86"/>
    <w:family w:val="modern"/>
    <w:pitch w:val="default"/>
    <w:sig w:usb0="800002BF" w:usb1="38CF7CFA" w:usb2="00000016" w:usb3="00000000" w:csb0="00040001" w:csb1="00000000"/>
    <w:embedRegular r:id="rId6" w:fontKey="{3AEA9C6C-EC81-44E9-B98B-02ED92BDEFC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DED4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1EEF06">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51EEF06">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6"/>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9F2F90"/>
    <w:rsid w:val="00311917"/>
    <w:rsid w:val="051E0FA4"/>
    <w:rsid w:val="065A72EE"/>
    <w:rsid w:val="09321A20"/>
    <w:rsid w:val="14AA168C"/>
    <w:rsid w:val="14D64C91"/>
    <w:rsid w:val="18390D96"/>
    <w:rsid w:val="1F9F2F90"/>
    <w:rsid w:val="21B634AE"/>
    <w:rsid w:val="22003B14"/>
    <w:rsid w:val="24EE2CA9"/>
    <w:rsid w:val="2CED30F8"/>
    <w:rsid w:val="327E25D6"/>
    <w:rsid w:val="33574D5E"/>
    <w:rsid w:val="344862CE"/>
    <w:rsid w:val="38797524"/>
    <w:rsid w:val="3C8C23CE"/>
    <w:rsid w:val="3E573E64"/>
    <w:rsid w:val="4F696114"/>
    <w:rsid w:val="539A29A5"/>
    <w:rsid w:val="54F71AA5"/>
    <w:rsid w:val="55CC4CE0"/>
    <w:rsid w:val="56CB183D"/>
    <w:rsid w:val="5BA02E96"/>
    <w:rsid w:val="6C4D46BB"/>
    <w:rsid w:val="6E116602"/>
    <w:rsid w:val="6E2C3B59"/>
    <w:rsid w:val="78A91105"/>
    <w:rsid w:val="79A675DE"/>
    <w:rsid w:val="7A4025C6"/>
    <w:rsid w:val="7E5A0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basedOn w:val="5"/>
    <w:qFormat/>
    <w:uiPriority w:val="0"/>
    <w:rPr>
      <w:b/>
    </w:rPr>
  </w:style>
  <w:style w:type="paragraph" w:styleId="7">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5648</Words>
  <Characters>6113</Characters>
  <Lines>0</Lines>
  <Paragraphs>0</Paragraphs>
  <TotalTime>14</TotalTime>
  <ScaleCrop>false</ScaleCrop>
  <LinksUpToDate>false</LinksUpToDate>
  <CharactersWithSpaces>6182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2025-02-26T12:46:00Z</dcterms:created>
  <dc:creator>高璇</dc:creator>
  <cp:lastModifiedBy>军集</cp:lastModifiedBy>
  <dcterms:modified xsi:type="dcterms:W3CDTF">2025-03-27T01:02:05Z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5098D6A9D2D14C688ADDF2CCDEA800FF_11</vt:lpwstr>
  </property>
  <property fmtid="{D5CDD505-2E9C-101B-9397-08002B2CF9AE}" pid="4" name="KSOTemplateDocerSaveRecord">
    <vt:lpwstr>eyJoZGlkIjoiYThlZTBmNWUwYzdiOWUzYmU4NzViODBjYjJjMTRiMjQiLCJ1c2VySWQiOiI1NzI1NjQ1MzEifQ==</vt:lpwstr>
  </property>
</Properties>
</file>